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RECRUTAMENTO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Gestor de Transformação Digital e Inovação (ref.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Agente Temporário (contrato de 5 anos –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Empresa Comum SESAR abriu um procedimento de recrutamento que visa a constituição de uma lista de reserva para </w:t>
      </w:r>
      <w:r>
        <w:rPr>
          <w:rFonts w:ascii="Arial" w:hAnsi="Arial"/>
          <w:b/>
          <w:sz w:val="20"/>
        </w:rPr>
        <w:t>1 lugar de Gestor de Transformação Digital e Inovação</w:t>
      </w:r>
      <w:r>
        <w:rPr>
          <w:rFonts w:ascii="Arial" w:hAnsi="Arial"/>
          <w:sz w:val="20"/>
        </w:rPr>
        <w:t>. O local de afetação é Bruxelas, na Bélgica, onde a Empresa Comum SESAR está sediada e o posto de trabalho situado.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INTRODUÇÃO</w:t>
      </w:r>
    </w:p>
    <w:p>
      <w:pPr>
        <w:pStyle w:val="11"/>
        <w:ind w:hanging="720"/>
      </w:pPr>
      <w:r>
        <w:t>O Programa SESAR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O Programa de Investigação sobre a Gestão do Tráfego Aéreo no Céu Único Europeu («SESAR») visa modernizar a Gestão do Tráfego Aéreo («ATM») na Europa e representa o pilar tecnológico do Céu Único Europeu.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A Empresa Comum SESAR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Para gerir este vasto e ambicioso programa foi criada uma entidade jurídica ao abrigo do direito da União Europeia. A Empresa Comum SESAR («ECS») foi instituída pelo Regulamento (CE) n.º 219/2007 do Conselho, de 27 de fevereiro de 2007, alterado pelo Regulamento (CE) n.º 1361/2008 do Conselho (Regulamento ECS) e, pela última vez, pelo Regulamento (UE) n.º 721/2014 do Conselho, de 16 de junho de 2014.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Estão disponíveis mais informações sobre as atividades da Empresa Comum SESAR em: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PRINCIPAIS RESPONSABILIDADES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 Gestor de Transformação Digital e Inovação é responsável por supervisionar a transformação digital e a evolução conexa da inovação tecnológica do programa SESAR. Sob a supervisão geral do economista principal e do serviço de planos diretores, as principais funções do titular do cargo serão: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identificar e dar prioridade a oportunidades para modernização da atividade de gestão do tráfego aéreo («ATM») no contexto do plano diretor europeu «ATM». Criar uma visão forte e uma estratégia impulsionada por tecnologias avançadas e maior digitalização, desde alterações aos impulsionadores ou serviços de «ATM» até à escala macro a nível do «sistema dos sistemas».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Definir, gerir, manter e comunicar a visão de Transformação Digital e Inovação do SESAR e assegurar a sua tradução eficaz em atividades de planos diretores.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Assegurar a colaboração externamente com partes interessadas e internamente noutras áreas responsáveis dentro da organização, a fim de supervisionar os desenvolvimentos relacionados com a transformação digital da «ATM». Propor ações corretivas para eliminar riscos do roteiro com o objetivo de alcançar uma implantação eficaz da estratégia e visão de Transformação Digital e Inovação.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Monitorizar e assegurar contributos relevantes para a regulamentação, normalização e outras ações conexas no quadro dos acordos de cooperação da ECS.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Representar a ECS nos fóruns internacionais e europeus relevantes como delegado.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Desenvolver e manter uma rede profissional sólida neste domínio de competência, nomeadamente com académicos prestigiados, atores industriais, empreendedores, agências governamentais e peritos independentes.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CRITÉRIOS DE ELEGIBILIDADE EXIGIDOS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Os candidatos serão considerados elegíveis para a fase de seleção com base nos critérios formais abaixo indicados, que devem ser preenchidos até à data-limite de apresentação das candidaturas.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Qualificações mínimas exigidas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Habilitações de nível correspondente a estudos universitários completos num domínio adequado e comprovadas por um diploma, se a duração normal desses estudos for igual ou superior a quatro anos ou mais,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Ou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Habilitações de nível correspondente a estudos universitários completos num domínio adequado e comprovadas por um diploma, se a duração normal desses estudos for igual a três anos e, após a obtenção do título universitário, uma experiência profissional adequada de pelo menos um ano.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Experiência profissional mínima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Pelo menos </w:t>
      </w:r>
      <w:r>
        <w:rPr>
          <w:rFonts w:ascii="Arial" w:hAnsi="Arial"/>
          <w:b/>
          <w:sz w:val="20"/>
        </w:rPr>
        <w:t xml:space="preserve">9 anos </w:t>
      </w:r>
      <w:r>
        <w:rPr>
          <w:rFonts w:ascii="Arial" w:hAnsi="Arial"/>
          <w:sz w:val="20"/>
        </w:rPr>
        <w:t>de experiência profissional comprovada, adquirida após a obtenção das qualificações mínimas exigidas num domínio equivalente ao da natureza das principais responsabilidades do lugar, preferencialmente num ambiente de investigação.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Competências linguísticas mínimas exigidas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É obrigatório possuir um conhecimento aprofundado de uma das línguas da União Europeia e um conhecimento satisfatório de outra língua da União, na medida do necessário ao exercício das suas funções.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Além disso, para ser elegível para o lugar, o candidato deve: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Ser cidadão de um dos Estados-Membros da União Europeia;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Estar em situação regular face à legislação aplicável ao recrutamento militar;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Gozar dos seus direitos cívicos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Estar fisicamente apto para o exercício das funções associadas ao cargo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INFORMAÇÕES SUPLEMENTARES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É possível consultar outros requisitos, todos os pormenores da função, bem como mais informações sobre o processo de seleção, entrevista e prestação de provas na versão integral do anúncio de concurso, que pode ser descarregada da página Web relativa às oportunidades profissionais da ECS: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As candidaturas devem ser apresentadas de acordo com o procedimento descrito no anúncio de vaga.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candidato selecionado será recrutado na qualidade de Agente Temporário [artigo 2.º, alínea f), grau AD8] no quadro de um contrato inicial a termo fixo por 5 anos com possibilidade de renovação.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É possível encontrar mais informações sobre os direitos e as condições de trabalho dos funcionários no seguinte documento: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"http://eur-lex.europa.eu/LexUriServ/LexUriServ.do?uri=CONSLEG:1962R0031:20140101:PT:PDF"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http://eur-lex.europa.eu/LexUriServ/LexUriServ.do?uri=CONSLEG:1962R0031:20140101:PT:PDF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A data-limite para a apresentação das candidaturas é 30 de setembro de 2017, às 23h00 (hora de Bruxelas).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Antes de ser nomeado, o candidato selecionado deverá apresentar um certificado das autoridades policiais que comprove a ausência de antecedentes criminais.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Antes de se proceder à sua admissão, o candidato é submetido a um exame médico, a fim de que a ECS se certifique de que reúne as condições exigidas no artigo 12.º, n.º 2, alínea d), do Regime Aplicável aos Outros Agentes da União Europeia.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Página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pt-PT" w:eastAsia="pt-PT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pt-PT" w:eastAsia="pt-PT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pt-PT" w:eastAsia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pt-PT" w:eastAsia="pt-PT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F207-F32D-423F-A458-E1A4D09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2017-08-28T10:58:00Z</dcterms:modified>
</cp:coreProperties>
</file>