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>
      <w:pPr>
        <w:pStyle w:val="Heading1"/>
        <w:rPr>
          <w:smallCaps/>
          <w:sz w:val="22"/>
          <w:szCs w:val="22"/>
        </w:rPr>
      </w:pPr>
      <w:bookmarkStart w:id="0" w:name="_GoBack"/>
      <w:r>
        <w:rPr>
          <w:smallCaps/>
          <w:noProof/>
          <w:lang w:val="fr-LU" w:eastAsia="fr-L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1096645</wp:posOffset>
            </wp:positionH>
            <wp:positionV relativeFrom="page">
              <wp:posOffset>923925</wp:posOffset>
            </wp:positionV>
            <wp:extent cx="1628775" cy="866775"/>
            <wp:effectExtent l="0" t="0" r="9525" b="9525"/>
            <wp:wrapNone/>
            <wp:docPr id="1" name="Picture 2" descr="SESAR J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055357" name="Picture 2" descr="SESAR JU_RV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Header"/>
        <w:spacing w:line="320" w:lineRule="exact"/>
        <w:ind w:left="3600"/>
        <w:rPr>
          <w:noProof/>
          <w:color w:val="07398A"/>
          <w:sz w:val="32"/>
          <w:szCs w:val="20"/>
        </w:rPr>
      </w:pPr>
      <w:r>
        <w:rPr>
          <w:smallCaps/>
          <w:noProof/>
          <w:lang w:val="fr-LU" w:eastAsia="fr-L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3009900</wp:posOffset>
            </wp:positionH>
            <wp:positionV relativeFrom="page">
              <wp:posOffset>1343025</wp:posOffset>
            </wp:positionV>
            <wp:extent cx="17780" cy="447675"/>
            <wp:effectExtent l="0" t="0" r="1270" b="9525"/>
            <wp:wrapNone/>
            <wp:docPr id="2" name="Picture 3" descr="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510157" name="Picture 3" descr="lign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7398A"/>
          <w:sz w:val="32"/>
        </w:rPr>
        <w:t>ZAPOŠLJAVANJE</w:t>
      </w:r>
    </w:p>
    <w:p>
      <w:pPr>
        <w:pStyle w:val="Header"/>
        <w:spacing w:line="320" w:lineRule="exact"/>
        <w:ind w:left="3600"/>
        <w:rPr>
          <w:noProof/>
          <w:color w:val="92D050"/>
        </w:rPr>
      </w:pPr>
      <w:r>
        <w:rPr>
          <w:noProof/>
          <w:color w:val="92D050"/>
        </w:rPr>
        <w:t>Voditelj za digitalnu transformaciju i inovacije (referentna oznaka VN218)</w:t>
      </w:r>
    </w:p>
    <w:p>
      <w:pPr>
        <w:pStyle w:val="Header"/>
        <w:spacing w:line="320" w:lineRule="exact"/>
        <w:ind w:left="3600"/>
        <w:rPr>
          <w:noProof/>
          <w:color w:val="92D050"/>
          <w:sz w:val="20"/>
          <w:szCs w:val="20"/>
        </w:rPr>
      </w:pPr>
      <w:r>
        <w:rPr>
          <w:noProof/>
          <w:color w:val="92D050"/>
          <w:sz w:val="20"/>
        </w:rPr>
        <w:t>Član privremenog osoblja (petogodišnji ugovor – AD 8)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Zajedničko poduzeće SESAR pokrenulo je postupak zapošljavanja radi sastavljanja popisa uspješnih kandidata za </w:t>
      </w:r>
      <w:r>
        <w:rPr>
          <w:rFonts w:ascii="Arial" w:hAnsi="Arial"/>
          <w:b/>
          <w:sz w:val="20"/>
        </w:rPr>
        <w:t>1 radno mjesto voditelja za digitalnu transformaciju i inovacije.</w:t>
      </w:r>
      <w:r>
        <w:rPr>
          <w:rFonts w:ascii="Arial" w:hAnsi="Arial"/>
          <w:sz w:val="20"/>
        </w:rPr>
        <w:t xml:space="preserve"> Mjesto zaposlenja je u Bruxellesu, u Belgiji, gdje se nalaze i sjedište Zajedničkog poduzeća SESAR te mjesto rada.</w:t>
      </w: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UVOD</w:t>
      </w:r>
    </w:p>
    <w:p>
      <w:pPr>
        <w:pStyle w:val="11"/>
        <w:ind w:hanging="720"/>
      </w:pPr>
      <w:r>
        <w:t>Program SESAR</w:t>
      </w:r>
    </w:p>
    <w:p>
      <w:pPr>
        <w:pStyle w:val="BodyText"/>
        <w:rPr>
          <w:bCs w:val="0"/>
          <w:i w:val="0"/>
          <w:iCs w:val="0"/>
          <w:sz w:val="20"/>
          <w:szCs w:val="20"/>
        </w:rPr>
      </w:pPr>
      <w:r>
        <w:rPr>
          <w:i w:val="0"/>
          <w:sz w:val="20"/>
        </w:rPr>
        <w:t>Programom istraživanja i razvoja u području upravljanja zračnim prometom jedinstvenog europskog neba („SESAR”) nastoji se modernizirati upravljanje zračnim prometom („ATM”) u Europi i on predstavlja tehnološki stup jedinstvenog europskog neba („SES”).</w:t>
      </w:r>
    </w:p>
    <w:p>
      <w:pPr>
        <w:pStyle w:val="BodyText"/>
        <w:rPr>
          <w:bCs w:val="0"/>
          <w:i w:val="0"/>
          <w:iCs w:val="0"/>
          <w:sz w:val="20"/>
          <w:szCs w:val="20"/>
        </w:rPr>
      </w:pPr>
    </w:p>
    <w:p>
      <w:pPr>
        <w:pStyle w:val="11"/>
        <w:ind w:hanging="720"/>
        <w:rPr>
          <w:b w:val="0"/>
          <w:iCs w:val="0"/>
        </w:rPr>
      </w:pPr>
      <w:r>
        <w:rPr>
          <w:b w:val="0"/>
        </w:rPr>
        <w:t>Zajedničko poduzeće SESAR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Radi pravilnog upravljanja ovim velikim i ambicioznim programom, osnovan je pravni subjekt u skladu sa zakonodavstvom Europske unije. Zajedničko poduzeće SESAR („SJU”) osnovano je Uredbom Vijeća (EZ) br. 219/2007 od 27. veljače 2007., koja je izmijenjena Uredbom Vijeća (EZ) br. 1361/2008 („Uredba o SJU-u”) i zadnji put izmijenjena Uredbom Vijeća (EU) br. 721/2014 od 16. lipnja 2014.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Dodatne informacije o aktivnostima Zajedničkog poduzeća SESAR dostupne su na sljedećoj adresi: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>
        <w:rPr>
          <w:rFonts w:ascii="Arial" w:hAnsi="Arial"/>
          <w:color w:val="0070C0"/>
          <w:sz w:val="20"/>
        </w:rPr>
        <w:t>http://www.sesarju.eu</w:t>
      </w:r>
      <w:r>
        <w:fldChar w:fldCharType="end"/>
      </w:r>
      <w:r>
        <w:rPr>
          <w:rFonts w:ascii="Arial" w:hAnsi="Arial"/>
          <w:sz w:val="20"/>
        </w:rPr>
        <w:t>.</w:t>
      </w: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GLAVNE ODGOVORNOSTI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Voditelj za digitalnu transformaciju i inovacije zadužen je za nadzor digitalne transformacije i razvoja povezanih tehnoloških inovacija u sklopu programa SESAR. Pod nadzorom glavnog ekonomista za izradu glavnog plana zaposlenik će imati sljedeće osnovne zadaće: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otkrivanje i određivanje prioriteta za modernizaciju poslovanja upravljanja zračnim prometom u okviru Glavnog plana upravljanja europskim zračnim prometom; osmišljavanje uvjerljive vizije i strategije na temelju napredne tehnologije i pojačane digitalizacije, od izmjena alata i službi za upravljanje zračnim prometom do makrorazine sustava svih sustava;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definiranje, upravljanje, održavanje i prenošenje vizije SESAR-a za digitalnu transformaciju i inovacije te osiguravanje njezine učinkovite provedbe u sklopu aktivnosti Glavnog plana;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osiguravanje vanjske suradnje s dionicima i unutarnje suradnje u drugim područjima zaduženja unutar organizacije radi nadzora razvoja povezanog s digitalnom transformacijom upravljanja zračnim prometom; predlaganje korektivnih radnji za uklanjanje mogućih rizika općeg plana s ciljem učinkovite provedbe strategije i vizije za digitalnu transformaciju i inovacije;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nadzor i osiguravanje relevantnih podataka za donošenje pravila, standardizaciju i druge aktivnosti u okviru sporazuma o suradnji SJU-a;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predstavljanje SJU-a na relevantnim međunarodnim i europskim forumima prema potrebi;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razvoj i održavanje snažne mreže stručnjaka u ovom stručnom području, uključujući vodeće znanstvenike, predstavnike industrije, poduzetnike, vladine agencije i neovisne stručnjake. </w:t>
      </w:r>
    </w:p>
    <w:p>
      <w:pPr>
        <w:pStyle w:val="ListParagraph"/>
        <w:autoSpaceDE w:val="0"/>
        <w:autoSpaceDN w:val="0"/>
        <w:spacing w:after="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OBAVEZNI KRITERIJI PRIHVATLJIVOSTI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Kandidati će ući u fazu odabira ako do isteka roka za podnošenje prijava ispune sljedeće kriterije: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pStyle w:val="Style2"/>
        <w:ind w:hanging="720"/>
        <w:rPr>
          <w:b/>
        </w:rPr>
      </w:pPr>
      <w:r>
        <w:rPr>
          <w:b/>
        </w:rPr>
        <w:t>Potrebne minimalne kvalifikacije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Stupanj obrazovanja koji odgovara završenom sveučilišnom studiju potvrđenom diplomom u odgovarajućem području studija ako je redovito trajanje sveučilišnog obrazovanja četiri godine ili više,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ili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stupanj obrazovanja koji odgovara završenom sveučilišnom studiju potvrđenom diplomom u odgovarajućem području studija ako je redovito trajanje sveučilišnog obrazovanja tri godine i najmanje jedna godina odgovarajućeg stručnog iskustva nakon stjecanja sveučilišne diplome.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pStyle w:val="Style2"/>
        <w:ind w:hanging="720"/>
        <w:rPr>
          <w:b/>
          <w:iCs w:val="0"/>
        </w:rPr>
      </w:pPr>
      <w:r>
        <w:rPr>
          <w:b/>
        </w:rPr>
        <w:t>Minimalno stručno iskustvo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Najmanje </w:t>
      </w:r>
      <w:r>
        <w:rPr>
          <w:rFonts w:ascii="Arial" w:hAnsi="Arial"/>
          <w:b/>
          <w:sz w:val="20"/>
        </w:rPr>
        <w:t xml:space="preserve">9 godina </w:t>
      </w:r>
      <w:r>
        <w:rPr>
          <w:rFonts w:ascii="Arial" w:hAnsi="Arial"/>
          <w:sz w:val="20"/>
        </w:rPr>
        <w:t>dokazanoga stručnog iskustva stečenoga nakon stjecanja neophodnih minimalnih kvalifikacija u području koje je povezano s prirodom ključnih odgovornosti, po mogućnosti u sektoru istraživanja.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pStyle w:val="Style2"/>
        <w:ind w:hanging="720"/>
        <w:rPr>
          <w:b/>
          <w:iCs w:val="0"/>
        </w:rPr>
      </w:pPr>
      <w:r>
        <w:rPr>
          <w:b/>
        </w:rPr>
        <w:t>Neophodne minimalne jezične vještine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Obavezno je temeljito znanje jednog službenog jezika Europske unije i zadovoljavajuće znanje još jednog službenog jezika Europske unije, koliko je potrebno za obavljanje dužnosti. </w:t>
      </w:r>
    </w:p>
    <w:p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Style2"/>
        <w:ind w:hanging="720"/>
        <w:rPr>
          <w:b/>
          <w:iCs w:val="0"/>
        </w:rPr>
      </w:pPr>
      <w:r>
        <w:rPr>
          <w:b/>
        </w:rPr>
        <w:t>Uz to, da bi se kandidata uzelo u obzir, on mora: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biti državljanin države članice Europske unije;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prethodno ispuniti sve zakonske obveze u pogledu služenja vojnog roka;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uživati sva građanska prava</w:t>
      </w:r>
      <w:r>
        <w:rPr>
          <w:rFonts w:ascii="Arial" w:hAnsi="Arial"/>
          <w:sz w:val="20"/>
          <w:vertAlign w:val="superscript"/>
        </w:rPr>
        <w:footnoteReference w:id="2"/>
      </w:r>
      <w:r>
        <w:rPr>
          <w:rFonts w:ascii="Arial" w:hAnsi="Arial"/>
          <w:sz w:val="20"/>
        </w:rPr>
        <w:t xml:space="preserve"> i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biti fizički sposoban obavljati dužnosti povezane s radnim mjestom</w:t>
      </w:r>
      <w:r>
        <w:rPr>
          <w:rFonts w:ascii="Arial" w:hAnsi="Arial"/>
          <w:sz w:val="20"/>
          <w:vertAlign w:val="superscript"/>
        </w:rPr>
        <w:footnoteReference w:id="3"/>
      </w:r>
      <w:r>
        <w:rPr>
          <w:rFonts w:ascii="Arial" w:hAnsi="Arial"/>
          <w:sz w:val="20"/>
        </w:rPr>
        <w:t>.</w:t>
      </w: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DODATNE INFORMACIJE</w:t>
      </w:r>
    </w:p>
    <w:p>
      <w:pPr>
        <w:jc w:val="both"/>
        <w:rPr>
          <w:sz w:val="19"/>
          <w:szCs w:val="19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Cjelovita verzija obavijesti o slobodnom radnom mjestu i ostali uvjeti, sve pojedinosti o radnom mjestu te više informacija o postupku odabira, razgovora i testiranja dostupni su na internetskoj stranici SJU-a s mogućnostima zapošljavanja: </w:t>
      </w:r>
      <w:r>
        <w:fldChar w:fldCharType="begin"/>
      </w:r>
      <w:r>
        <w:instrText xml:space="preserve"> HYPERLINK "http://www.sesarju.eu/sesar-vacancies" </w:instrText>
      </w:r>
      <w:r>
        <w:fldChar w:fldCharType="separate"/>
      </w:r>
      <w:r>
        <w:rPr>
          <w:rStyle w:val="Hyperlink"/>
          <w:rFonts w:ascii="Arial" w:hAnsi="Arial"/>
          <w:sz w:val="20"/>
        </w:rPr>
        <w:t>http://www.sesarju.eu/sesar-vacancies</w:t>
      </w:r>
      <w:r>
        <w:fldChar w:fldCharType="end"/>
      </w:r>
      <w:r>
        <w:rPr>
          <w:rFonts w:ascii="Arial" w:hAnsi="Arial"/>
          <w:sz w:val="20"/>
        </w:rPr>
        <w:t>. Prijave se moraju podnijeti u skladu s postupkom opisanim u obavijesti o slobodnom radnom mjestu.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Odabrani kandidat zapošljava se kao član privremenog osoblja (članak 2.f, razred AD8) uz početni ugovor na određeno vrijeme od pet godina koji može biti obnovljen.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Više informacija o pravima i uvjetima zaposlenja možete pronaći u sljedećem dokumentu: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"http://eur-lex.europa.eu/LexUriServ/LexUriServ.do?uri=CONSLEG:1962R0031:20140101:HR:PDF" </w:instrText>
      </w:r>
      <w:r>
        <w:fldChar w:fldCharType="separate"/>
      </w:r>
      <w:r>
        <w:rPr>
          <w:rStyle w:val="Hyperlink"/>
          <w:rFonts w:ascii="Arial" w:hAnsi="Arial"/>
          <w:sz w:val="20"/>
        </w:rPr>
        <w:t>http://eur-lex.europa.eu/LexUriServ/LexUriServ.do?uri=CONSLEG:1962R0031:20140101:HR:PDF</w:t>
      </w:r>
      <w:r>
        <w:fldChar w:fldCharType="end"/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Rok za prijave: krajnji rok za podnošenje prijava je 30. rujna 2017. u 23:00 sata po briselskom vremenu.</w:t>
      </w:r>
      <w:bookmarkEnd w:id="0"/>
    </w:p>
    <w:sectPr>
      <w:headerReference w:type="default" r:id="rId8"/>
      <w:pgSz w:w="11907" w:h="16839" w:code="9"/>
      <w:pgMar w:top="1134" w:right="1417" w:bottom="1134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Times"/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  <w:footnote w:id="2">
    <w:p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Prije zaposlenja odabrani kandidat treba dostaviti potvrdu o nekažnjavanju.</w:t>
      </w:r>
    </w:p>
  </w:footnote>
  <w:footnote w:id="3">
    <w:p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Prije zaposlenja kandidat mora proći liječnički pregled kako bi SJU utvrdio ispunjava li kandidat kriterije iz članka 12. stavka 2. točke (d) Uvjeta zaposlenja ostalih službenika Europskih zajednica.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Stranica</w:t>
    </w:r>
    <w:r>
      <w:rPr>
        <w:sz w:val="18"/>
      </w:rPr>
      <w:t xml:space="preserve"> |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">
    <w:nsid w:val="055133E7"/>
    <w:multiLevelType w:val="hybridMultilevel"/>
    <w:tmpl w:val="AFC6B890"/>
    <w:lvl w:ilvl="0">
      <w:start w:val="1"/>
      <w:numFmt w:val="decimal"/>
      <w:pStyle w:val="Style2"/>
      <w:lvlText w:val="3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2333"/>
    <w:multiLevelType w:val="hybridMultilevel"/>
    <w:tmpl w:val="E65E23FA"/>
    <w:lvl w:ilvl="0">
      <w:start w:val="1"/>
      <w:numFmt w:val="decimal"/>
      <w:pStyle w:val="11"/>
      <w:lvlText w:val="1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2779431-0DB4-4F66-9DC5-E2646B86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Pr>
      <w:rFonts w:ascii="Arial" w:hAnsi="Arial"/>
      <w:sz w:val="24"/>
      <w:szCs w:val="24"/>
      <w:lang w:val="hr-HR" w:eastAsia="hr-HR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hr-HR" w:eastAsia="hr-HR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pPr>
      <w:suppressAutoHyphens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hr-HR"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hr-HR" w:eastAsia="hr-HR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1.1"/>
    <w:basedOn w:val="Normal"/>
    <w:qFormat/>
    <w:pPr>
      <w:numPr>
        <w:numId w:val="4"/>
      </w:numPr>
      <w:jc w:val="both"/>
      <w:outlineLvl w:val="2"/>
    </w:pPr>
    <w:rPr>
      <w:rFonts w:ascii="Arial" w:hAnsi="Arial" w:cs="Arial"/>
      <w:b/>
      <w:iCs/>
      <w:color w:val="92D050"/>
      <w:sz w:val="20"/>
      <w:szCs w:val="20"/>
    </w:rPr>
  </w:style>
  <w:style w:type="paragraph" w:customStyle="1" w:styleId="Style2">
    <w:name w:val="Style2"/>
    <w:basedOn w:val="Normal"/>
    <w:qFormat/>
    <w:pPr>
      <w:numPr>
        <w:numId w:val="6"/>
      </w:numPr>
      <w:jc w:val="both"/>
      <w:outlineLvl w:val="2"/>
    </w:pPr>
    <w:rPr>
      <w:rFonts w:ascii="Arial" w:hAnsi="Arial" w:cs="Arial"/>
      <w:iCs/>
      <w:color w:val="92D0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271A-E1CE-4919-B8B3-1BD1FCF2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812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6</cp:revision>
  <cp:lastPrinted>2016-07-26T10:15:00Z</cp:lastPrinted>
  <dcterms:created xsi:type="dcterms:W3CDTF">2017-08-21T09:32:00Z</dcterms:created>
  <dcterms:modified xsi:type="dcterms:W3CDTF">2017-08-28T12:24:00Z</dcterms:modified>
</cp:coreProperties>
</file>