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PALVELUKSEEN OTTAMINEN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Digitalisaatiokehityksestä ja innovoinnista vastaava johtaja (viite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Väliaikainen toimihenkilö (viiden vuoden sopimus – AD 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SESAR-yhteisyritys on käynnistänyt palvelukseenottomenettelyn, jonka tarkoituksena on laatia varallaololuettelo </w:t>
      </w:r>
      <w:r>
        <w:rPr>
          <w:rFonts w:ascii="Arial" w:hAnsi="Arial"/>
          <w:b/>
          <w:sz w:val="20"/>
        </w:rPr>
        <w:t>yhtä digitalisaatiokehityksestä ja innovoinnista vastaavan johtajan tointa</w:t>
      </w:r>
      <w:r>
        <w:rPr>
          <w:rFonts w:ascii="Arial" w:hAnsi="Arial"/>
          <w:sz w:val="20"/>
        </w:rPr>
        <w:t xml:space="preserve"> varten. Toimipaikka on Brysselissä, Belgiassa, jossa SESAR-yhteisyrityksellä on päätoimipaikka ja jossa toimenhaltija työskentelee.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JOHDANTO</w:t>
      </w:r>
    </w:p>
    <w:p>
      <w:pPr>
        <w:pStyle w:val="11"/>
        <w:ind w:hanging="720"/>
      </w:pPr>
      <w:r>
        <w:t>SESAR-ohjelma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>Euroopan ilmaliikenteen hallinnan nykyaikaistamishankkeen (”SESAR”) avulla pyritään nykyaikaistamaan Euroopan ilmaliikenteen hallintaa (”ATM”). Se on yhtenäisen eurooppalaisen ilmatilan tekninen pilari.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SESAR-yhteisyritys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Tämän valtavan ja kunnianhimoisen ohjelman asianmukaista hallinnointia varten perustettiin Euroopan unionin lainsäädännön mukainen oikeushenkilö. SESAR-yhteisyritys perustettiin 27. helmikuuta 2007 annetulla neuvoston asetuksella (EY) N:o 219/2007, jota on muutettu neuvoston asetuksella (EY) N:o 1361/2008 (SESAR-yhteisyrityksestä annettu asetus) ja tarkistettu viimeksi 16. kesäkuuta 2014 annetulla neuvoston asetuksella (EU) N:o 721/2014.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SESAR-yhteisyrityksen toiminnasta saa lisätietoa osoitteesta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TÄRKEIMMÄT VASTUUALUEET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Digitalisaatiokehityksestä ja innovoinnista vastaava johtaja on vastuussa SESAR-ohjelman digitalisaatiokehityksen ja siihen liittyvän teknisen innovaatiokehityksen valvonnasta. Toimenhaltija toimii talous- ja yleissuunnittelusta vastaavan johtajan valvonnassa, ja hänen tärkeimmät tehtävänsä ovat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havaita ja priorisoida mahdollisuuksia nykyaikaistaa ilmaliikenteen hallintaa ATM-yleissuunnitelman puitteissa sekä luoda edistykselliseen teknologiaan ja kasvavaan digitalisaatioon perustuva vakuuttava visio ja strategia, joka ulottuu ilmaliikenteen hallinnan toimintakykyä tehostaviin tekijöihin tai palveluihin tehtävistä muutoksista aina kattojärjestelmän makrotasolle asti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määritellä, hallita ja ylläpitää SESARin digitalisaatiokehitys- ja innovointivisiota ja antaa siitä tietoja sekä varmistaa sen tehokas toteuttaminen yleissuunnittelussa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huolehtia sidosryhmien kanssa tehtävästä ulkoisesta yhteistyöstä ja organisaation muiden toimialojen kanssa tehtävästä sisäisestä yhteistyöstä, joiden tavoitteena on valvoa ATM:n digitalisaatiokehityksen edistymistä, sekä ehdottaa korjaavia toimia etenemissuunnitelmaan liittyvien riskien vähentämiseksi, jotta digitalisaatiokehitys- ja innovointistrategia ja -visio voitaisiin toteuttaa tehokkaasti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seurata ja varmistaa asianmukaisen aineiston tuottamista asiaan liittyvää sääntöjen laadintaa, standardointia ja muita SESAR-yhteisyrityksen yhteistyösopimuksiin liittyviä toimia varten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edustaa SESAR-yhteisyritystä sen valtuuttamana asiaan liittyvillä kansainvälisillä ja eurooppalaisilla foorumeilla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kehittää ja ylläpitää tämän asiantuntemusalan vahvaa ammatillista verkostoa, myös johtavien tutkijoiden, teollisuuden toimijoiden, yrittäjien, valtioiden viranomaisten ja riippumattomien asiantuntijoiden kanssa.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HAKUKELPOISUUSKRITEERIT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Hakijat katsotaan kelpoisiksi valintavaiheeseen, jos he täyttävät seuraavat muodolliset hakukriteerit hakuajan päättyessä: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Vähimmäistutkintovaatimukset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Tavallisesti vähintään neljä vuotta kestäneitä asiaankuuluvan alan korkeakouluopintoja vastaava koulutus, jonka suorittamisesta on annettu tutkintotodistus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tai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tavallisesti vähintään kolme vuotta kestäneitä asiaankuuluvan alan korkeakouluopintoja vastaava koulutus, jonka suorittamisesta on annettu tutkintotodistus, ja tutkinnon suorittamisen jälkeen vähintään vuoden asianmukainen työkokemus.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Vähimmäistyökokemus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Vähintään </w:t>
      </w:r>
      <w:r>
        <w:rPr>
          <w:rFonts w:ascii="Arial" w:hAnsi="Arial"/>
          <w:b/>
          <w:sz w:val="20"/>
        </w:rPr>
        <w:t xml:space="preserve">yhdeksän vuoden </w:t>
      </w:r>
      <w:r>
        <w:rPr>
          <w:rFonts w:ascii="Arial" w:hAnsi="Arial"/>
          <w:sz w:val="20"/>
        </w:rPr>
        <w:t>todistettu työkokemus, joka on hankittu vaaditun tutkinnon suorittamisen jälkeen tärkeimpiin vastuualueisiin liittyvillä aloilla, mielellään tutkimusympäristössä.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Kielitaidon vähimmäisvaatimukset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Hakijalla on perusteellinen jonkin Euroopan unionin kielen taito ja toisen Euroopan unionin kielen tyydyttävä taito, joka on riittävä toimeen liittyvien työtehtävien hoitamiseen.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Hakukelpoisuus edellyttää lisäksi seuraavaa: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Hakija on jonkin Euroopan unionin jäsenvaltion kansalainen.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Hakija on täyttänyt varusmiespalvelusta koskevan lainsäädännön mukaiset velvollisuutensa.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Hakijalla on täydet kansalaisoikeudet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.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Hakija on fyysisesti riittävän hyvässä kunnossa voidakseen hoitaa toimeen liittyvät tehtävät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LISÄTIETOJA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Muut vaatimukset, kattavat tiedot tehtävistä sekä lisätiedot valinnasta, haastattelusta ja testausmenettelystä ovat työpaikkailmoituksen täydellisessä versiossa, jonka voi ladata SESAR-yhteisyrityksen verkkosivuston avointen työpaikkojen osiosta: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Hakemukset on toimitettava työpaikkailmoituksessa kuvatun menettelyn mukaisesti.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Valitut hakijat otetaan palvelukseen väliaikaisina toimihenkilöinä (2f artikla, palkkaluokka AD8) aluksi viiden vuoden määräaikaisella sopimuksella, joka voidaan uusia.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Lisätietoja työsuhteeseen sisältyvistä oikeuksista ja ehdoista on seuraavassa asiakirjassa: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"http://eur-lex.europa.eu/LexUriServ/LexUriServ.do?uri=CONSLEG:1962R0031:20140101:FI:PDF"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http://eur-lex.europa.eu/LexUriServ/LexUriServ.do?uri=CONSLEG:1962R0031:20140101:EN:PDF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Hakemusten jättämisen määräaika on 30. syyskuuta 2017 klo 23.00 Brysselin aikaa.</w:t>
      </w:r>
      <w:bookmarkEnd w:id="0"/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Valituksi tullutta hakijaa pyydetään toimittamaan ennen nimittämistä rikosrekisteriote, jossa ei saa olla merkintöjä.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Ennen sopimuksen tekemistä hakijalle tehdään lääkärintarkastus, jotta SESAR-yhteisyritys voisi olla varma, että hän täyttää Euroopan unionin muuhun henkilöstöön sovellettavien palvelussuhteen ehtojen 12 artiklan 2 kohdan d alakohdan vaatimukset.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Sivu</w:t>
    </w: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fi-FI" w:eastAsia="fi-FI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fi-FI"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fi-FI" w:eastAsia="fi-FI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7146-38C8-49E6-AE72-96A036E8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2017-08-28T10:59:00Z</dcterms:modified>
</cp:coreProperties>
</file>