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8B593F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8B593F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8B593F">
        <w:rPr>
          <w:rFonts w:ascii="Arial" w:hAnsi="Arial"/>
          <w:noProof/>
          <w:color w:val="07398A"/>
          <w:sz w:val="32"/>
        </w:rPr>
        <w:t>PAREIGYBĖS APRAŠYMAS</w:t>
      </w:r>
    </w:p>
    <w:p w:rsidR="00830B03" w:rsidRPr="008B593F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8B593F">
        <w:rPr>
          <w:rFonts w:ascii="Arial" w:hAnsi="Arial"/>
          <w:b/>
          <w:noProof/>
          <w:color w:val="92D050"/>
        </w:rPr>
        <w:t>Programavimo ir planavimo pareigūnas (nuorodos Nr. VN018)</w:t>
      </w:r>
    </w:p>
    <w:p w:rsidR="00830B03" w:rsidRPr="008B593F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8B593F">
        <w:rPr>
          <w:rFonts w:ascii="Arial" w:hAnsi="Arial"/>
          <w:b/>
          <w:noProof/>
          <w:color w:val="92D050"/>
          <w:sz w:val="20"/>
        </w:rPr>
        <w:t>Laikinasis darbuotojas (AST 4). Trukmė – 5 metai</w:t>
      </w:r>
    </w:p>
    <w:p w:rsidR="00830B03" w:rsidRPr="008B593F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8B593F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8B593F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8B593F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 xml:space="preserve">Bendra įmonė SESAR nustatė atrankos procedūrą, skirtą sudaryti </w:t>
      </w:r>
      <w:r w:rsidRPr="008B593F">
        <w:rPr>
          <w:rFonts w:ascii="Arial" w:hAnsi="Arial"/>
          <w:b/>
          <w:sz w:val="20"/>
        </w:rPr>
        <w:t xml:space="preserve">programavimo ir planavimo pareigūno </w:t>
      </w:r>
      <w:r w:rsidRPr="008B593F">
        <w:rPr>
          <w:rFonts w:ascii="Arial" w:hAnsi="Arial"/>
          <w:sz w:val="20"/>
        </w:rPr>
        <w:t xml:space="preserve"> pareigybės </w:t>
      </w:r>
      <w:r w:rsidRPr="008B593F">
        <w:rPr>
          <w:rFonts w:ascii="Arial" w:hAnsi="Arial"/>
          <w:b/>
          <w:sz w:val="20"/>
        </w:rPr>
        <w:t>(TA –AST4)</w:t>
      </w:r>
      <w:r w:rsidRPr="008B593F">
        <w:rPr>
          <w:rFonts w:ascii="Arial" w:hAnsi="Arial"/>
          <w:sz w:val="20"/>
        </w:rPr>
        <w:t xml:space="preserve"> rezervo sąrašą. Tarnybos vieta yra Briuselyje (Belgija) – čia įsikūrusi bendros įmonės SESAR būstinė ir yra darbo vieta.</w:t>
      </w:r>
    </w:p>
    <w:p w:rsidR="00830B03" w:rsidRPr="008B593F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8B593F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8B593F">
        <w:rPr>
          <w:rFonts w:ascii="Arial" w:hAnsi="Arial"/>
          <w:b/>
          <w:color w:val="002060"/>
          <w:sz w:val="20"/>
        </w:rPr>
        <w:t>ĮVADAS</w:t>
      </w:r>
    </w:p>
    <w:p w:rsidR="00830B03" w:rsidRPr="008B593F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8B593F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8B593F">
        <w:rPr>
          <w:rFonts w:ascii="Arial" w:hAnsi="Arial"/>
          <w:b/>
          <w:color w:val="92D050"/>
          <w:sz w:val="20"/>
        </w:rPr>
        <w:t>SESAR programa</w:t>
      </w:r>
    </w:p>
    <w:p w:rsidR="00830B03" w:rsidRPr="008B593F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8B593F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 xml:space="preserve">Bendro Europos dangaus oro eismo valdymo mokslinių tyrimų (SESAR) programa siekiama modernizuoti oro eismo </w:t>
      </w:r>
      <w:r w:rsidRPr="008B593F">
        <w:rPr>
          <w:rFonts w:ascii="Arial" w:hAnsi="Arial"/>
          <w:sz w:val="20"/>
        </w:rPr>
        <w:t>valdymą (ATM) Europoje; tai Bendro Europos dangaus politikos technologinis ramstis.</w:t>
      </w:r>
    </w:p>
    <w:p w:rsidR="00830B03" w:rsidRPr="008B593F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8B593F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8B593F">
        <w:rPr>
          <w:rFonts w:ascii="Arial" w:hAnsi="Arial"/>
          <w:b/>
          <w:color w:val="92D050"/>
          <w:sz w:val="20"/>
        </w:rPr>
        <w:t>Bendra įmonė SESAR</w:t>
      </w:r>
    </w:p>
    <w:p w:rsidR="00830B03" w:rsidRPr="008B593F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8B593F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Šiai labai plataus masto ir užmojo programai valdyti pagal Europos Sąjungos teisę įsteigtas juridinis subjektas. Bendra įmonė SESAR (SBĮ) įsteigta paga</w:t>
      </w:r>
      <w:r w:rsidRPr="008B593F">
        <w:rPr>
          <w:rFonts w:ascii="Arial" w:hAnsi="Arial"/>
          <w:sz w:val="20"/>
        </w:rPr>
        <w:t>l 2007 m. vasario 27 d. Tarybos reglamentą (EB) Nr. 219/2007, taip pat reglamentus, iš dalies pakeistus Tarybos reglamentu (EB) Nr. 1361/2008 (SBĮ reglamentas), su paskutiniais pakeitimais, padarytais 2014 m. birželio 16 d. Tarybos reglamentu (ES) Nr. 721/</w:t>
      </w:r>
      <w:r w:rsidRPr="008B593F">
        <w:rPr>
          <w:rFonts w:ascii="Arial" w:hAnsi="Arial"/>
          <w:sz w:val="20"/>
        </w:rPr>
        <w:t>2014.</w:t>
      </w:r>
    </w:p>
    <w:p w:rsidR="00830B03" w:rsidRPr="008B593F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8B593F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 xml:space="preserve">Daugiau informacijos apie bendros įmonės SESAR veiklą galima rasti adresu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8B593F">
        <w:rPr>
          <w:rFonts w:ascii="Arial" w:hAnsi="Arial"/>
          <w:color w:val="0070C0"/>
          <w:sz w:val="20"/>
        </w:rPr>
        <w:t>http://www.sesarju.eu</w:t>
      </w:r>
      <w:r w:rsidRPr="008B593F">
        <w:rPr>
          <w:rFonts w:ascii="Arial" w:hAnsi="Arial"/>
          <w:sz w:val="20"/>
        </w:rPr>
        <w:t>.</w:t>
      </w:r>
      <w:r>
        <w:fldChar w:fldCharType="end"/>
      </w:r>
    </w:p>
    <w:p w:rsidR="00561DD5" w:rsidRPr="008B593F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8B593F">
        <w:rPr>
          <w:rFonts w:ascii="Arial" w:hAnsi="Arial"/>
          <w:color w:val="002060"/>
          <w:sz w:val="20"/>
        </w:rPr>
        <w:t>PAGRINDINĖS PAREIGOS</w:t>
      </w:r>
    </w:p>
    <w:p w:rsidR="00AE75F5" w:rsidRPr="008B593F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B593F">
        <w:rPr>
          <w:rFonts w:ascii="Arial" w:hAnsi="Arial"/>
          <w:color w:val="000000"/>
          <w:sz w:val="20"/>
        </w:rPr>
        <w:t xml:space="preserve">Planavimo pareigūnas bus pavaldus ir atskaitingas </w:t>
      </w:r>
      <w:r w:rsidRPr="008B593F">
        <w:rPr>
          <w:rFonts w:ascii="Arial" w:hAnsi="Arial"/>
          <w:color w:val="000000"/>
          <w:sz w:val="20"/>
        </w:rPr>
        <w:t>Kokybės, planavimo ir atsiskaitymo padalinio vadovui.</w:t>
      </w:r>
    </w:p>
    <w:p w:rsidR="000E086E" w:rsidRPr="008B593F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8B593F">
        <w:rPr>
          <w:rFonts w:ascii="Arial" w:hAnsi="Arial"/>
          <w:sz w:val="20"/>
        </w:rPr>
        <w:t>Planavimo pareigūno pagrindinės funkcijos:</w:t>
      </w:r>
    </w:p>
    <w:p w:rsidR="00AE75F5" w:rsidRPr="008B593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padėti vykdyti SBĮ programavimo ir planavimo veiklą, kaip išdėstyta SBĮ reglamente (padėti laikytis įmonės plano ir t. t.). Visų pirma jis padės rengti bendrąj</w:t>
      </w:r>
      <w:r w:rsidRPr="008B593F">
        <w:rPr>
          <w:rFonts w:ascii="Arial" w:hAnsi="Arial"/>
          <w:sz w:val="20"/>
        </w:rPr>
        <w:t>į programavimo dokumentą;</w:t>
      </w:r>
    </w:p>
    <w:p w:rsidR="00AE75F5" w:rsidRPr="008B593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bendradarbiaujant su SBĮ Finansų sektoriumi, aktyviai padėti rengti ir vykdyti bendrojo programavimo dokumento biudžeto planą, tuo tikslu vadovaujantis hierarchiniu principu, taikant konsoliduotą požiūrį ir užtikrinant duomenų kok</w:t>
      </w:r>
      <w:r w:rsidRPr="008B593F">
        <w:rPr>
          <w:rFonts w:ascii="Arial" w:hAnsi="Arial"/>
          <w:sz w:val="20"/>
        </w:rPr>
        <w:t>ybę ir tikslumą per visą biudžeto rengimo ir tvirtinimo procesą;</w:t>
      </w:r>
    </w:p>
    <w:p w:rsidR="00AE75F5" w:rsidRPr="008B593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padėti rengti ir vykdyti vidaus planavimo procesą ir tą procesą taikyti visoje SBĮ;</w:t>
      </w:r>
    </w:p>
    <w:p w:rsidR="00AE75F5" w:rsidRPr="008B593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 xml:space="preserve">padėti veiksmingai įgyvendinti SBĮ kokybės valdymo sistemą, taip pat informacijos ir dokumentų valdymo </w:t>
      </w:r>
      <w:r w:rsidRPr="008B593F">
        <w:rPr>
          <w:rFonts w:ascii="Arial" w:hAnsi="Arial"/>
          <w:sz w:val="20"/>
        </w:rPr>
        <w:t>sistemą, visų pirma nustatyti ir diegti su biudžetu ir planavimu susijusias efektyvumo priemones (įrankius, procedūras);</w:t>
      </w:r>
    </w:p>
    <w:p w:rsidR="00AE75F5" w:rsidRPr="008B593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color w:val="000000"/>
          <w:sz w:val="20"/>
        </w:rPr>
        <w:t>prisidėti prie mokymo ir informuotumo didinimo veiklos, susijusios su SBĮ taikomu planavimo ir ataskaitų teikimo ciklu;</w:t>
      </w:r>
    </w:p>
    <w:p w:rsidR="00AE75F5" w:rsidRPr="008B593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būti finansų ti</w:t>
      </w:r>
      <w:r w:rsidRPr="008B593F">
        <w:rPr>
          <w:rFonts w:ascii="Arial" w:hAnsi="Arial"/>
          <w:sz w:val="20"/>
        </w:rPr>
        <w:t>krinimo agentu, kaip reikalaujama pagal EB finansines taisykles ir SBĮ finansinę tvarką;</w:t>
      </w:r>
    </w:p>
    <w:p w:rsidR="00AE75F5" w:rsidRPr="008B593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prireikus ir atsižvelgiant į tarnybos interesus, atlikti papildomas užduotis.</w:t>
      </w:r>
    </w:p>
    <w:p w:rsidR="00611E3A" w:rsidRPr="008B593F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8B593F">
        <w:rPr>
          <w:rFonts w:ascii="Arial" w:hAnsi="Arial"/>
          <w:color w:val="002060"/>
          <w:sz w:val="20"/>
        </w:rPr>
        <w:t>BŪTINI TINKAMUMO KRITERIJAI</w:t>
      </w:r>
    </w:p>
    <w:p w:rsidR="002E3D58" w:rsidRPr="008B593F" w:rsidP="002E3D58">
      <w:pPr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Atrankos etape kandidatų paraiškos bus svarstomos atsižvelgia</w:t>
      </w:r>
      <w:r w:rsidRPr="008B593F">
        <w:rPr>
          <w:rFonts w:ascii="Arial" w:hAnsi="Arial"/>
          <w:sz w:val="20"/>
        </w:rPr>
        <w:t>nt į toliau nurodytus kriterijus, kuriuos būtina įvykdyti iki paraiškų pateikimo termino.</w:t>
      </w:r>
    </w:p>
    <w:p w:rsidR="002E3D58" w:rsidRPr="008B593F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8B593F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8B593F">
        <w:rPr>
          <w:rFonts w:ascii="Arial" w:hAnsi="Arial"/>
          <w:b/>
          <w:color w:val="92D050"/>
          <w:sz w:val="20"/>
        </w:rPr>
        <w:t>Būtina kvalifikacija</w:t>
      </w:r>
    </w:p>
    <w:p w:rsidR="006C5ED6" w:rsidRPr="008B593F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Diplomu patvirtintas aukštesnysis arba aukštasis išsilavinimas</w:t>
      </w:r>
    </w:p>
    <w:p w:rsidR="006C5ED6" w:rsidRPr="008B593F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ARBA</w:t>
      </w:r>
    </w:p>
    <w:p w:rsidR="00BA70B1" w:rsidRPr="008B593F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vidurinis išsilavinimas, patvirtintas atestatu, suteikiančiu galimybę siekti</w:t>
      </w:r>
      <w:r w:rsidRPr="008B593F">
        <w:rPr>
          <w:rFonts w:ascii="Arial" w:hAnsi="Arial"/>
          <w:sz w:val="20"/>
        </w:rPr>
        <w:t xml:space="preserve"> aukštesniojo arba aukštojo išsilavinimo, ir atitinkama bent trejų metų profesinė patirtis.</w:t>
      </w:r>
    </w:p>
    <w:p w:rsidR="006C5ED6" w:rsidRPr="008B593F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8B593F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8B593F">
        <w:rPr>
          <w:rFonts w:ascii="Arial" w:hAnsi="Arial"/>
          <w:b/>
          <w:color w:val="92D050"/>
          <w:sz w:val="20"/>
        </w:rPr>
        <w:t>Būtina profesinė patirtis</w:t>
      </w:r>
    </w:p>
    <w:p w:rsidR="0001053A" w:rsidRPr="008B593F" w:rsidP="00BA6688">
      <w:pPr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 xml:space="preserve">Bent </w:t>
      </w:r>
      <w:r w:rsidRPr="008B593F">
        <w:rPr>
          <w:rFonts w:ascii="Arial" w:hAnsi="Arial"/>
          <w:b/>
          <w:sz w:val="20"/>
        </w:rPr>
        <w:t>9 metų</w:t>
      </w:r>
      <w:r w:rsidRPr="008B593F">
        <w:rPr>
          <w:rFonts w:ascii="Arial" w:hAnsi="Arial"/>
          <w:sz w:val="20"/>
        </w:rPr>
        <w:t xml:space="preserve"> patvirtinta profesinė patirtis, įgyta gavus būtiną kvalifikaciją, kuri yra reikalinga srityje, susijusioje su pagrindinių par</w:t>
      </w:r>
      <w:r w:rsidRPr="008B593F">
        <w:rPr>
          <w:rFonts w:ascii="Arial" w:hAnsi="Arial"/>
          <w:sz w:val="20"/>
        </w:rPr>
        <w:t>eigų pobūdžiu (pageidautina – mokslinių tyrimų aplinkoje).</w:t>
      </w:r>
    </w:p>
    <w:p w:rsidR="00BA6688" w:rsidRPr="008B593F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8B593F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8B593F">
        <w:rPr>
          <w:rFonts w:ascii="Arial" w:hAnsi="Arial"/>
          <w:b/>
          <w:color w:val="92D050"/>
          <w:sz w:val="20"/>
        </w:rPr>
        <w:t>Būtini kalbiniai įgūdžiai</w:t>
      </w:r>
    </w:p>
    <w:p w:rsidR="00611E3A" w:rsidRPr="008B593F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Būtina puikiai mokėti vieną iš Europos Sąjungos kalbų ir pakankamai gerai mokėti kitą Europos Sąjungos kalbą, kad žinių pakaktų pareigoms atlikti.</w:t>
      </w:r>
    </w:p>
    <w:p w:rsidR="008D392D" w:rsidRPr="008B593F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8B593F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8B593F">
        <w:rPr>
          <w:rFonts w:ascii="Arial" w:hAnsi="Arial"/>
          <w:b/>
          <w:color w:val="92D050"/>
          <w:sz w:val="20"/>
        </w:rPr>
        <w:t xml:space="preserve">Be to, reikalavimus </w:t>
      </w:r>
      <w:r w:rsidRPr="008B593F">
        <w:rPr>
          <w:rFonts w:ascii="Arial" w:hAnsi="Arial"/>
          <w:b/>
          <w:color w:val="92D050"/>
          <w:sz w:val="20"/>
        </w:rPr>
        <w:t>atitinkantis kandidatas turi:</w:t>
      </w:r>
    </w:p>
    <w:p w:rsidR="00561DD5" w:rsidRPr="008B593F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būti vienos iš Europos Sąjungos valstybių narių pilietis;</w:t>
      </w:r>
    </w:p>
    <w:p w:rsidR="00561DD5" w:rsidRPr="008B593F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būti įvykdęs visas su karine tarnyba susijusiais įstatymais nustatytas prievoles;</w:t>
      </w:r>
    </w:p>
    <w:p w:rsidR="00561DD5" w:rsidRPr="008B593F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turėti visas piliečio teises</w:t>
      </w:r>
      <w:r>
        <w:rPr>
          <w:rFonts w:ascii="Arial" w:hAnsi="Arial"/>
          <w:sz w:val="20"/>
          <w:vertAlign w:val="superscript"/>
        </w:rPr>
        <w:footnoteReference w:id="2"/>
      </w:r>
      <w:r w:rsidRPr="008B593F">
        <w:rPr>
          <w:rFonts w:ascii="Arial" w:hAnsi="Arial"/>
          <w:sz w:val="20"/>
        </w:rPr>
        <w:t>;</w:t>
      </w:r>
    </w:p>
    <w:p w:rsidR="00911893" w:rsidRPr="008B593F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 xml:space="preserve">būti tinkamos fizinės formos su pareigybe susijusioms </w:t>
      </w:r>
      <w:r w:rsidRPr="008B593F">
        <w:rPr>
          <w:rFonts w:ascii="Arial" w:hAnsi="Arial"/>
          <w:sz w:val="20"/>
        </w:rPr>
        <w:t>užduotims atlikti</w:t>
      </w:r>
      <w:r>
        <w:rPr>
          <w:rFonts w:ascii="Arial" w:hAnsi="Arial"/>
          <w:sz w:val="20"/>
          <w:vertAlign w:val="superscript"/>
        </w:rPr>
        <w:footnoteReference w:id="3"/>
      </w:r>
      <w:r w:rsidRPr="008B593F">
        <w:rPr>
          <w:rFonts w:ascii="Arial" w:hAnsi="Arial"/>
          <w:sz w:val="20"/>
        </w:rPr>
        <w:t>.</w:t>
      </w:r>
    </w:p>
    <w:p w:rsidR="002C76E1" w:rsidRPr="008B593F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8B593F">
        <w:rPr>
          <w:rFonts w:ascii="Arial" w:hAnsi="Arial"/>
          <w:color w:val="002060"/>
          <w:sz w:val="20"/>
        </w:rPr>
        <w:t>PAPILDOMA INFORMACIJA</w:t>
      </w:r>
    </w:p>
    <w:p w:rsidR="002C76E1" w:rsidRPr="008B593F" w:rsidP="002C76E1">
      <w:pPr>
        <w:jc w:val="both"/>
        <w:rPr>
          <w:sz w:val="19"/>
          <w:szCs w:val="19"/>
        </w:rPr>
      </w:pPr>
    </w:p>
    <w:p w:rsidR="002C76E1" w:rsidRPr="008B593F" w:rsidP="002C76E1">
      <w:pPr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Kiti reikalavimai, išsami informacija apie pareigybę, taip pat daugiau informacijos apie atrankos, pokalbio ir testavimo procedūrą pateikiama išsamiame skelbime apie laisvą darbo vietą, kurį galima atsisiųsti iš S</w:t>
      </w:r>
      <w:r w:rsidRPr="008B593F">
        <w:rPr>
          <w:rFonts w:ascii="Arial" w:hAnsi="Arial"/>
          <w:sz w:val="20"/>
        </w:rPr>
        <w:t xml:space="preserve">BĮ karjeros galimybių tinklalapio </w:t>
      </w:r>
      <w:r>
        <w:fldChar w:fldCharType="begin"/>
      </w:r>
      <w:r>
        <w:instrText xml:space="preserve"> HYPERLINK "http://www.sesarju.eu./" </w:instrText>
      </w:r>
      <w:r>
        <w:fldChar w:fldCharType="separate"/>
      </w:r>
      <w:r w:rsidRPr="008B593F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8B593F">
        <w:t>.</w:t>
      </w:r>
      <w:r w:rsidRPr="008B593F">
        <w:rPr>
          <w:rFonts w:ascii="Arial" w:hAnsi="Arial"/>
          <w:sz w:val="20"/>
        </w:rPr>
        <w:t xml:space="preserve"> Paraiškos turi būti teikiamos laikantis skelbime apie laisvą darbo vietą nustatytos procedūros.</w:t>
      </w:r>
    </w:p>
    <w:p w:rsidR="002C76E1" w:rsidRPr="008B593F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8B593F" w:rsidP="002C76E1">
      <w:pPr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 xml:space="preserve">Atrinktas kandidatas bus įdarbintas kaip laikinasis darbuotojas </w:t>
      </w:r>
      <w:r w:rsidRPr="008B593F">
        <w:rPr>
          <w:rFonts w:ascii="Arial" w:hAnsi="Arial"/>
          <w:sz w:val="20"/>
        </w:rPr>
        <w:t>(2f straipsnis, AST 4 kategorija) pagal pradinę terminuotą penkerių metų darbo sutartį, kuri gali būti atnaujinta.</w:t>
      </w:r>
    </w:p>
    <w:p w:rsidR="002C76E1" w:rsidRPr="008B593F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8B593F" w:rsidP="002C76E1">
      <w:pPr>
        <w:jc w:val="both"/>
        <w:rPr>
          <w:rFonts w:ascii="Arial" w:hAnsi="Arial" w:cs="Arial"/>
          <w:sz w:val="20"/>
          <w:szCs w:val="20"/>
        </w:rPr>
      </w:pPr>
      <w:r w:rsidRPr="008B593F">
        <w:rPr>
          <w:rFonts w:ascii="Arial" w:hAnsi="Arial"/>
          <w:sz w:val="20"/>
        </w:rPr>
        <w:t>Daugiau informacijos apie įdarbinimo teises ir sąlygas galima rasti šiame dokumente:</w:t>
      </w:r>
    </w:p>
    <w:p w:rsidR="002C76E1" w:rsidRPr="008B593F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"http://eur-lex.europa.eu/LexUriServ/LexUriServ.do?uri=CONSLEG:1962R0031:20140101:LT:PDF" </w:instrText>
      </w:r>
      <w:r>
        <w:fldChar w:fldCharType="separate"/>
      </w:r>
      <w:r w:rsidRPr="008B593F">
        <w:rPr>
          <w:rStyle w:val="Hyperlink"/>
          <w:rFonts w:ascii="Arial" w:hAnsi="Arial"/>
          <w:sz w:val="20"/>
        </w:rPr>
        <w:t>http://eur-lex.europa.eu/LexUriServ/LexUriServ.do?uri=CONSLEG:1962R0031:20140101:LT:PDF</w:t>
      </w:r>
      <w:r>
        <w:fldChar w:fldCharType="end"/>
      </w:r>
      <w:r w:rsidRPr="008B593F">
        <w:t>.</w:t>
      </w:r>
    </w:p>
    <w:p w:rsidR="002C76E1" w:rsidRPr="008B593F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8B593F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8B593F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B593F">
        <w:rPr>
          <w:rFonts w:ascii="Arial" w:hAnsi="Arial"/>
          <w:b/>
          <w:color w:val="FF0000"/>
          <w:sz w:val="20"/>
          <w:u w:val="single"/>
        </w:rPr>
        <w:t>Paraiškų pateikimo terminas – 2018 m. balandžio 16 d. 23.00 val. Briuselio laiku.</w:t>
      </w:r>
    </w:p>
    <w:p w:rsidR="00D63711" w:rsidRPr="008B593F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8B593F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8B593F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8B593F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Prieš įdarbinant bus paprašyta, kad atrinktas kandidatas pateiktų policijos išduotą neteistumo pažymą.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Prieš įdarbinant bus atliktas kandid</w:t>
      </w:r>
      <w:r>
        <w:rPr>
          <w:rStyle w:val="FootnoteReference"/>
          <w:rFonts w:ascii="Arial" w:hAnsi="Arial"/>
          <w:sz w:val="16"/>
        </w:rPr>
        <w:t>ato sveikatos patikrinimas, kad SBĮ įsitikintų, jog kandidatas atitinka Kitų Europos Bendrijų tarnautojų įdarbinimo sąlygų 12 straipsnio 2 dalies d punktą.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Puslapis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8B593F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593F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lt-L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lt-LT" w:eastAsia="lt-LT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lt-LT" w:eastAsia="lt-LT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lt-LT" w:eastAsia="lt-L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lt-LT" w:eastAsia="lt-LT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B99-EA14-466B-A998-F548F24C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2018-03-07T14:26:00Z</dcterms:modified>
</cp:coreProperties>
</file>