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230F9C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230F9C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230F9C">
        <w:rPr>
          <w:rFonts w:ascii="Arial" w:hAnsi="Arial"/>
          <w:noProof/>
          <w:color w:val="07398A"/>
          <w:sz w:val="32"/>
        </w:rPr>
        <w:t>AMETIKOHA KIRJELDUS</w:t>
      </w:r>
    </w:p>
    <w:p w:rsidR="00830B03" w:rsidRPr="00230F9C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230F9C">
        <w:rPr>
          <w:rFonts w:ascii="Arial" w:hAnsi="Arial"/>
          <w:b/>
          <w:noProof/>
          <w:color w:val="92D050"/>
        </w:rPr>
        <w:t>Programmi- ja planeerimistöö ametnik (viide VN018)</w:t>
      </w:r>
    </w:p>
    <w:p w:rsidR="00830B03" w:rsidRPr="00230F9C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230F9C">
        <w:rPr>
          <w:rFonts w:ascii="Arial" w:hAnsi="Arial"/>
          <w:b/>
          <w:noProof/>
          <w:color w:val="92D050"/>
          <w:sz w:val="20"/>
        </w:rPr>
        <w:t>Ajutine teenistuja – AST4 – ametiaeg: 5 aastat</w:t>
      </w:r>
    </w:p>
    <w:p w:rsidR="00830B03" w:rsidRPr="00230F9C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230F9C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230F9C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Ühisettevõte SESAR korraldab valikumenetluse, mille eesmärk on koostada reservnimekiri </w:t>
      </w:r>
      <w:r w:rsidRPr="00230F9C">
        <w:rPr>
          <w:rFonts w:ascii="Arial" w:hAnsi="Arial"/>
          <w:b/>
          <w:sz w:val="20"/>
        </w:rPr>
        <w:t xml:space="preserve">programmi- ja planeerimistöö ametniku (TA – AST4) </w:t>
      </w:r>
      <w:r w:rsidRPr="00230F9C">
        <w:rPr>
          <w:rFonts w:ascii="Arial" w:hAnsi="Arial"/>
          <w:sz w:val="20"/>
        </w:rPr>
        <w:t>ametikoha täitmiseks. Töökoht asub Brüsselis Belgias, kus on ühisettevõtte SESAR peakorter.</w:t>
      </w:r>
    </w:p>
    <w:p w:rsidR="00830B03" w:rsidRPr="00230F9C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230F9C">
        <w:rPr>
          <w:rFonts w:ascii="Arial" w:hAnsi="Arial"/>
          <w:b/>
          <w:color w:val="002060"/>
          <w:sz w:val="20"/>
        </w:rPr>
        <w:t>SISSEJUHATUS</w:t>
      </w:r>
    </w:p>
    <w:p w:rsidR="00830B03" w:rsidRPr="00230F9C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230F9C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Projekt SESAR</w:t>
      </w:r>
    </w:p>
    <w:p w:rsidR="00830B03" w:rsidRPr="00230F9C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Euroopa lennuliikluse uue põlvkonna juhtimissüsteemiga seotud teadusuuringute ja </w:t>
      </w:r>
      <w:r w:rsidRPr="00230F9C">
        <w:rPr>
          <w:rFonts w:ascii="Arial" w:hAnsi="Arial"/>
          <w:sz w:val="20"/>
        </w:rPr>
        <w:t>arendustegevuse projekt (projekt SESAR), mille eesmärk on ajakohastada lennuliikluse korraldamist Euroopas, on ühtse Euroopa taeva algatuse tehnoloogiasammas.</w:t>
      </w:r>
    </w:p>
    <w:p w:rsidR="00830B03" w:rsidRPr="00230F9C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Ühisettevõte SESAR</w:t>
      </w:r>
    </w:p>
    <w:p w:rsidR="00830B03" w:rsidRPr="00230F9C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Selle suure ja ambitsioonika programmi nõuetekohaseks juhtimiseks loodi Euro</w:t>
      </w:r>
      <w:r w:rsidRPr="00230F9C">
        <w:rPr>
          <w:rFonts w:ascii="Arial" w:hAnsi="Arial"/>
          <w:sz w:val="20"/>
        </w:rPr>
        <w:t>opa Liidu õiguse alusel juriidiline isik. Ühisettevõte SESAR asutati nõukogu 27. veebruari 2007. aasta määrusega (EÜ) nr 219/2007, mida on muudetud nõukogu määrusega (EÜ) nr 1361/2008 (SESARi määrus), mida viimati muudeti nõukogu 16. juuni 2014. aasta määr</w:t>
      </w:r>
      <w:r w:rsidRPr="00230F9C">
        <w:rPr>
          <w:rFonts w:ascii="Arial" w:hAnsi="Arial"/>
          <w:sz w:val="20"/>
        </w:rPr>
        <w:t>usega (EL) nr 721/2014.</w:t>
      </w:r>
    </w:p>
    <w:p w:rsidR="00830B03" w:rsidRPr="00230F9C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230F9C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Lisateave ühisettevõtte SESAR tegevuse kohta on aadressil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230F9C">
        <w:rPr>
          <w:rFonts w:ascii="Arial" w:hAnsi="Arial"/>
          <w:color w:val="0070C0"/>
          <w:sz w:val="20"/>
        </w:rPr>
        <w:t>http://www.sesarju.eu</w:t>
      </w:r>
      <w:r w:rsidRPr="00230F9C">
        <w:rPr>
          <w:rFonts w:ascii="Arial" w:hAnsi="Arial"/>
          <w:sz w:val="20"/>
        </w:rPr>
        <w:t>.</w:t>
      </w:r>
      <w:r>
        <w:fldChar w:fldCharType="end"/>
      </w:r>
    </w:p>
    <w:p w:rsidR="00561DD5" w:rsidRPr="00230F9C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230F9C">
        <w:rPr>
          <w:rFonts w:ascii="Arial" w:hAnsi="Arial"/>
          <w:color w:val="002060"/>
          <w:sz w:val="20"/>
        </w:rPr>
        <w:t>PEAMISED VASTUTUSVALDKONNAD</w:t>
      </w:r>
    </w:p>
    <w:p w:rsidR="00AE75F5" w:rsidRPr="00230F9C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30F9C">
        <w:rPr>
          <w:rFonts w:ascii="Arial" w:hAnsi="Arial"/>
          <w:color w:val="000000"/>
          <w:sz w:val="20"/>
        </w:rPr>
        <w:t xml:space="preserve">Planeerimistöö ametnik tegutseb ettevõtte </w:t>
      </w:r>
      <w:r w:rsidRPr="00230F9C">
        <w:rPr>
          <w:rFonts w:ascii="Arial" w:hAnsi="Arial"/>
          <w:color w:val="000000"/>
          <w:sz w:val="20"/>
        </w:rPr>
        <w:t>kvaliteedi, planeerimise ja aruandluse juhi järelevalve all, kellele ta annab aru.</w:t>
      </w:r>
    </w:p>
    <w:p w:rsidR="000E086E" w:rsidRPr="00230F9C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30F9C">
        <w:rPr>
          <w:rFonts w:ascii="Arial" w:hAnsi="Arial"/>
          <w:sz w:val="20"/>
        </w:rPr>
        <w:t>Planeerimistöö ametniku peamised kohustused on järgmised.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Toetada ühisettevõtte SESAR programmitööd ja planeerimistegevust, nagu on sätestatud SESARi määruses (toetada ettev</w:t>
      </w:r>
      <w:r w:rsidRPr="00230F9C">
        <w:rPr>
          <w:rFonts w:ascii="Arial" w:hAnsi="Arial"/>
          <w:sz w:val="20"/>
        </w:rPr>
        <w:t>õtte tegevuskava jms järgimist). Kõnealune töötaja aitab eelkõige koostada ühtset programmitöö dokumenti.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Ta aitab aktiivselt kaasa ühtse programmitöö dokumendi eelarve prognoosi väljatöötamisele ja järgimisele, rakendades ülalt alla suunatud lähenemisviis</w:t>
      </w:r>
      <w:r w:rsidRPr="00230F9C">
        <w:rPr>
          <w:rFonts w:ascii="Arial" w:hAnsi="Arial"/>
          <w:sz w:val="20"/>
        </w:rPr>
        <w:t>i, andes konsolideeritud hinnangu ja tagades eelarve väljatöötamise ja valideerimise protsessi vältel andmete kvaliteedi ja täpsuse koostöös ühisettevõtte finantsüksusega.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Ta toetab ettevõttesisese planeerimisprotsessi ettevalmistamist ja täitmist ning </w:t>
      </w:r>
      <w:r w:rsidRPr="00230F9C">
        <w:rPr>
          <w:rFonts w:ascii="Arial" w:hAnsi="Arial"/>
          <w:sz w:val="20"/>
        </w:rPr>
        <w:t>selle protsessi rakendamist kogu ühisettevõttes SESAR.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Ta aitab kaasa ühisettevõtte kvaliteedijuhtimissüsteemi ning teabe ja dokumentide haldamise süsteemi tõhusale rakendamisele, määrates eelkõige eelarve ja planeerimise kontekstis kindlaks tõhususe meetm</w:t>
      </w:r>
      <w:r w:rsidRPr="00230F9C">
        <w:rPr>
          <w:rFonts w:ascii="Arial" w:hAnsi="Arial"/>
          <w:sz w:val="20"/>
        </w:rPr>
        <w:t>ed (vahendid, menetlused) ja rakendades neid.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color w:val="000000"/>
          <w:sz w:val="20"/>
        </w:rPr>
        <w:t>Ta aitab korraldada koolitus- ja teavitustegevust ühisettevõtte SESAR suhtes kohaldatava planeerimis- ja aruandlustsükli raames.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Ta tegutseb finantskontrolliga tegeleva ametnikuna ELi finantseeskirjade kohaselt</w:t>
      </w:r>
      <w:r w:rsidRPr="00230F9C">
        <w:rPr>
          <w:rFonts w:ascii="Arial" w:hAnsi="Arial"/>
          <w:sz w:val="20"/>
        </w:rPr>
        <w:t xml:space="preserve"> ja kooskõlas ühisettevõtte SESAR finantsküsimustega seotud töövooga.</w:t>
      </w:r>
    </w:p>
    <w:p w:rsidR="00AE75F5" w:rsidRPr="00230F9C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Ta täidab vajaduse korral lisaülesandeid talituse huvides.</w:t>
      </w:r>
    </w:p>
    <w:p w:rsidR="00611E3A" w:rsidRPr="00230F9C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230F9C">
        <w:rPr>
          <w:rFonts w:ascii="Arial" w:hAnsi="Arial"/>
          <w:color w:val="002060"/>
          <w:sz w:val="20"/>
        </w:rPr>
        <w:t>SOBIVUSKRITEERIUMID</w:t>
      </w:r>
    </w:p>
    <w:p w:rsidR="002E3D58" w:rsidRPr="00230F9C" w:rsidP="002E3D58">
      <w:pPr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Kandidaadid, kes soovivad valikuetapis osaleda, peavad taotluste esitamise tähtpäevaks vastama järgmistele </w:t>
      </w:r>
      <w:r w:rsidRPr="00230F9C">
        <w:rPr>
          <w:rFonts w:ascii="Arial" w:hAnsi="Arial"/>
          <w:sz w:val="20"/>
        </w:rPr>
        <w:t>kriteeriumidele.</w:t>
      </w:r>
    </w:p>
    <w:p w:rsidR="002E3D58" w:rsidRPr="00230F9C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230F9C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Nõutav miinimumkvalifikatsioon</w:t>
      </w:r>
    </w:p>
    <w:p w:rsidR="006C5ED6" w:rsidRPr="00230F9C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Diplomiga tõendatud keskharidusjärgne haridus</w:t>
      </w:r>
    </w:p>
    <w:p w:rsidR="006C5ED6" w:rsidRPr="00230F9C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VÕI</w:t>
      </w:r>
    </w:p>
    <w:p w:rsidR="00BA70B1" w:rsidRPr="00230F9C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lõputunnistusega tõendatud keskharidus, mis võimaldab õpinguid jätkata keskharidusjärgses õppeasutuses, ning vähemalt kolme aasta pikkune asjakohane </w:t>
      </w:r>
      <w:r w:rsidRPr="00230F9C">
        <w:rPr>
          <w:rFonts w:ascii="Arial" w:hAnsi="Arial"/>
          <w:sz w:val="20"/>
        </w:rPr>
        <w:t>töökogemus.</w:t>
      </w:r>
    </w:p>
    <w:p w:rsidR="006C5ED6" w:rsidRPr="00230F9C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230F9C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Minimaalne töökogemus</w:t>
      </w:r>
    </w:p>
    <w:p w:rsidR="0001053A" w:rsidRPr="00230F9C" w:rsidP="00BA6688">
      <w:pPr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Vähemalt </w:t>
      </w:r>
      <w:r w:rsidRPr="00230F9C">
        <w:rPr>
          <w:rFonts w:ascii="Arial" w:hAnsi="Arial"/>
          <w:b/>
          <w:sz w:val="20"/>
        </w:rPr>
        <w:t>9-aastane</w:t>
      </w:r>
      <w:r w:rsidRPr="00230F9C">
        <w:rPr>
          <w:rFonts w:ascii="Arial" w:hAnsi="Arial"/>
          <w:sz w:val="20"/>
        </w:rPr>
        <w:t xml:space="preserve"> tõendatud töökogemus, mis on saadud pärast nõutava miinimumkvalifikatsiooni omandamist peamiste kohustustega seotud valdkonnas, eelistatavalt teadusuuringute alal.</w:t>
      </w:r>
    </w:p>
    <w:p w:rsidR="00BA6688" w:rsidRPr="00230F9C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230F9C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Minimaalne keeleoskus</w:t>
      </w:r>
    </w:p>
    <w:p w:rsidR="00611E3A" w:rsidRPr="00230F9C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Kandidaat peab </w:t>
      </w:r>
      <w:r w:rsidRPr="00230F9C">
        <w:rPr>
          <w:rFonts w:ascii="Arial" w:hAnsi="Arial"/>
          <w:sz w:val="20"/>
        </w:rPr>
        <w:t>valdama üht Euroopa Liidu ametlikku keelt ning oskama rahuldavalt veel üht liidu ametlikku keelt tasemel, mis on vajalik ametikoha ülesannete täitmiseks.</w:t>
      </w:r>
    </w:p>
    <w:p w:rsidR="008D392D" w:rsidRPr="00230F9C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230F9C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230F9C">
        <w:rPr>
          <w:rFonts w:ascii="Arial" w:hAnsi="Arial"/>
          <w:b/>
          <w:color w:val="92D050"/>
          <w:sz w:val="20"/>
        </w:rPr>
        <w:t>Lisaks peab sobiv kandidaat</w:t>
      </w:r>
    </w:p>
    <w:p w:rsidR="00561DD5" w:rsidRPr="00230F9C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olema Euroopa Liidu liikmesriigi kodanik;</w:t>
      </w:r>
    </w:p>
    <w:p w:rsidR="00561DD5" w:rsidRPr="00230F9C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olema täitnud talle seadusega e</w:t>
      </w:r>
      <w:r w:rsidRPr="00230F9C">
        <w:rPr>
          <w:rFonts w:ascii="Arial" w:hAnsi="Arial"/>
          <w:sz w:val="20"/>
        </w:rPr>
        <w:t>tte nähtud sõjaväeteenistuskohustuse;</w:t>
      </w:r>
    </w:p>
    <w:p w:rsidR="00561DD5" w:rsidRPr="00230F9C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omama kõiki kodanikuõigusi</w:t>
      </w:r>
      <w:r>
        <w:rPr>
          <w:rFonts w:ascii="Arial" w:hAnsi="Arial"/>
          <w:sz w:val="20"/>
          <w:vertAlign w:val="superscript"/>
        </w:rPr>
        <w:footnoteReference w:id="2"/>
      </w:r>
      <w:r w:rsidRPr="00230F9C">
        <w:rPr>
          <w:rFonts w:ascii="Arial" w:hAnsi="Arial"/>
          <w:sz w:val="20"/>
        </w:rPr>
        <w:t>;</w:t>
      </w:r>
    </w:p>
    <w:p w:rsidR="00911893" w:rsidRPr="00230F9C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olema füüsiliselt võimeline oma ametikohustusi täitma.</w:t>
      </w:r>
      <w:r>
        <w:rPr>
          <w:rFonts w:ascii="Arial" w:hAnsi="Arial"/>
          <w:sz w:val="20"/>
          <w:vertAlign w:val="superscript"/>
        </w:rPr>
        <w:footnoteReference w:id="3"/>
      </w:r>
    </w:p>
    <w:p w:rsidR="002C76E1" w:rsidRPr="00230F9C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230F9C">
        <w:rPr>
          <w:rFonts w:ascii="Arial" w:hAnsi="Arial"/>
          <w:color w:val="002060"/>
          <w:sz w:val="20"/>
        </w:rPr>
        <w:t>LISATEAVE</w:t>
      </w:r>
    </w:p>
    <w:p w:rsidR="002C76E1" w:rsidRPr="00230F9C" w:rsidP="002C76E1">
      <w:pPr>
        <w:jc w:val="both"/>
        <w:rPr>
          <w:sz w:val="19"/>
          <w:szCs w:val="19"/>
        </w:rPr>
      </w:pP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 xml:space="preserve">Muud nõuded, ametiülesannete täielik loetelu ja lisateave valikumenetluse, töövestluse ja testide kohta on töökuulutuse täisversioonis, mille saab alla laadida ühisettevõtte SESAR veebilehelt vabade töökohtade jaotisest: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230F9C">
        <w:rPr>
          <w:rStyle w:val="Hyperlink"/>
          <w:rFonts w:ascii="Arial" w:hAnsi="Arial"/>
          <w:sz w:val="20"/>
        </w:rPr>
        <w:t>h</w:t>
      </w:r>
      <w:r w:rsidRPr="00230F9C">
        <w:rPr>
          <w:rStyle w:val="Hyperlink"/>
          <w:rFonts w:ascii="Arial" w:hAnsi="Arial"/>
          <w:sz w:val="20"/>
        </w:rPr>
        <w:t>ttp://www.sesarju.eu</w:t>
      </w:r>
      <w:r>
        <w:fldChar w:fldCharType="end"/>
      </w:r>
      <w:r w:rsidRPr="00230F9C">
        <w:t>.</w:t>
      </w:r>
      <w:r w:rsidRPr="00230F9C">
        <w:rPr>
          <w:rFonts w:ascii="Arial" w:hAnsi="Arial"/>
          <w:sz w:val="20"/>
        </w:rPr>
        <w:t xml:space="preserve"> Avaldused tuleb esitada vaba töökoha teates kirjeldatud menetluse kohaselt.</w:t>
      </w: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Väljavalitud kandidaat võetakse tööle ajutise teenistujana (artikli 2 punkt f, palgaaste AST4) esialgu viieaastase tähtajalise lepinguga, mida on võimalik</w:t>
      </w:r>
      <w:r w:rsidRPr="00230F9C">
        <w:rPr>
          <w:rFonts w:ascii="Arial" w:hAnsi="Arial"/>
          <w:sz w:val="20"/>
        </w:rPr>
        <w:t xml:space="preserve"> pikendada.</w:t>
      </w: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  <w:r w:rsidRPr="00230F9C">
        <w:rPr>
          <w:rFonts w:ascii="Arial" w:hAnsi="Arial"/>
          <w:sz w:val="20"/>
        </w:rPr>
        <w:t>Lisateave õiguste ja töölevõtmise tingimuste kohta on järgmises dokumendis:</w:t>
      </w: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"http://eur-lex.europa.eu/LexUriServ/LexUriServ.do?uri=CONSLEG:1962R0031:20140101:ET:PDF" </w:instrText>
      </w:r>
      <w:r>
        <w:fldChar w:fldCharType="separate"/>
      </w:r>
      <w:r w:rsidRPr="00230F9C">
        <w:rPr>
          <w:rStyle w:val="Hyperlink"/>
          <w:rFonts w:ascii="Arial" w:hAnsi="Arial"/>
          <w:sz w:val="20"/>
        </w:rPr>
        <w:t>http://eur-lex.europa.eu/LexUriServ/LexUriServ.do?uri=CONSLEG:1962R0</w:t>
      </w:r>
      <w:r w:rsidRPr="00230F9C">
        <w:rPr>
          <w:rStyle w:val="Hyperlink"/>
          <w:rFonts w:ascii="Arial" w:hAnsi="Arial"/>
          <w:sz w:val="20"/>
        </w:rPr>
        <w:t>031:20140101:ET:PDF</w:t>
      </w:r>
      <w:r>
        <w:fldChar w:fldCharType="end"/>
      </w:r>
    </w:p>
    <w:p w:rsidR="002C76E1" w:rsidRPr="00230F9C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230F9C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230F9C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30F9C">
        <w:rPr>
          <w:rFonts w:ascii="Arial" w:hAnsi="Arial"/>
          <w:b/>
          <w:color w:val="FF0000"/>
          <w:sz w:val="20"/>
          <w:u w:val="single"/>
        </w:rPr>
        <w:t>Taotluste esitamise tähtpäev on 16. aprill 2018 kl 23.00 Brüsseli aja järgi.</w:t>
      </w:r>
    </w:p>
    <w:p w:rsidR="00D63711" w:rsidRPr="00230F9C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230F9C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230F9C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230F9C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Enne ametisse nimetamist tuleb valituks </w:t>
      </w:r>
      <w:r>
        <w:rPr>
          <w:rStyle w:val="FootnoteReference"/>
          <w:rFonts w:ascii="Arial" w:hAnsi="Arial"/>
          <w:sz w:val="16"/>
        </w:rPr>
        <w:t>osutunud kandidaadil esitada politseitõend selle kohta, et teda ei ole kriminaalkorras karistatud.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Enne töölevõtmist läbib kandidaat arstliku läbivaatuse, et ühisettevõte saaks kontrollida, kas ta täidab Euroopa Liidu muude teenistujate teenistustingimus</w:t>
      </w:r>
      <w:r>
        <w:rPr>
          <w:rStyle w:val="FootnoteReference"/>
          <w:rFonts w:ascii="Arial" w:hAnsi="Arial"/>
          <w:sz w:val="16"/>
        </w:rPr>
        <w:t>te artikli 12 lõike 2 punkti d nõudeid.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Lk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230F9C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0F9C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et-E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et-EE" w:eastAsia="et-EE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et-EE" w:eastAsia="et-EE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et-EE" w:eastAsia="et-E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et-EE"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et-EE" w:eastAsia="et-EE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5F4C-1B75-4480-AD9F-21E24AD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2018-03-07T14:25:00Z</dcterms:modified>
</cp:coreProperties>
</file>