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55187A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55187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55187A">
        <w:rPr>
          <w:rFonts w:ascii="Arial" w:hAnsi="Arial"/>
          <w:noProof/>
          <w:color w:val="07398A"/>
          <w:sz w:val="32"/>
        </w:rPr>
        <w:t>DESCRIPCIÓN DEL PUESTO</w:t>
      </w:r>
    </w:p>
    <w:p w:rsidR="00830B03" w:rsidRPr="0055187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55187A">
        <w:rPr>
          <w:rFonts w:ascii="Arial" w:hAnsi="Arial"/>
          <w:b/>
          <w:noProof/>
          <w:color w:val="92D050"/>
        </w:rPr>
        <w:t>Responsable de planificación y programación (ref. VN018)</w:t>
      </w:r>
    </w:p>
    <w:p w:rsidR="00830B03" w:rsidRPr="0055187A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55187A">
        <w:rPr>
          <w:rFonts w:ascii="Arial" w:hAnsi="Arial"/>
          <w:b/>
          <w:noProof/>
          <w:color w:val="92D050"/>
          <w:sz w:val="20"/>
        </w:rPr>
        <w:t>Agente temporal – AST4 – Duración: 5 años</w:t>
      </w:r>
    </w:p>
    <w:p w:rsidR="00830B03" w:rsidRPr="0055187A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55187A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55187A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55187A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La Empresa Común SESAR ha iniciado un proceso de selección para crear una lista de reserva para el puesto de </w:t>
      </w:r>
      <w:r w:rsidRPr="0055187A">
        <w:rPr>
          <w:rFonts w:ascii="Arial" w:hAnsi="Arial"/>
          <w:b/>
          <w:sz w:val="20"/>
        </w:rPr>
        <w:t xml:space="preserve">Responsable de </w:t>
      </w:r>
      <w:r w:rsidRPr="0055187A">
        <w:rPr>
          <w:rFonts w:ascii="Arial" w:hAnsi="Arial"/>
          <w:b/>
          <w:sz w:val="20"/>
        </w:rPr>
        <w:t>planificación y programación (AT – AST4)</w:t>
      </w:r>
      <w:r w:rsidRPr="0055187A">
        <w:rPr>
          <w:rFonts w:ascii="Arial" w:hAnsi="Arial"/>
          <w:sz w:val="20"/>
        </w:rPr>
        <w:t>. El destino es Bruselas (Bélgica), donde la Empresa Común SESAR tiene su sede y donde se encuentra asimismo el lugar de empleo.</w:t>
      </w:r>
    </w:p>
    <w:p w:rsidR="00830B03" w:rsidRPr="0055187A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55187A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55187A">
        <w:rPr>
          <w:rFonts w:ascii="Arial" w:hAnsi="Arial"/>
          <w:b/>
          <w:color w:val="002060"/>
          <w:sz w:val="20"/>
        </w:rPr>
        <w:t>INTRODUCCIÓN</w:t>
      </w:r>
    </w:p>
    <w:p w:rsidR="00830B03" w:rsidRPr="0055187A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55187A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55187A">
        <w:rPr>
          <w:rFonts w:ascii="Arial" w:hAnsi="Arial"/>
          <w:b/>
          <w:color w:val="92D050"/>
          <w:sz w:val="20"/>
        </w:rPr>
        <w:t>El Programa SESAR</w:t>
      </w:r>
    </w:p>
    <w:p w:rsidR="00830B03" w:rsidRPr="0055187A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55187A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El Programa de Investigación y Desarrollo en el </w:t>
      </w:r>
      <w:r w:rsidRPr="0055187A">
        <w:rPr>
          <w:rFonts w:ascii="Arial" w:hAnsi="Arial"/>
          <w:sz w:val="20"/>
        </w:rPr>
        <w:t>Ámbito de la Gestión del Tránsito Aéreo del Cielo Único Europeo («SESAR») tiene por objetivo modernizar la gestión del tránsito aéreo («ATM») en Europa y representa el pilar tecnológico del Cielo Único Europeo.</w:t>
      </w:r>
    </w:p>
    <w:p w:rsidR="00830B03" w:rsidRPr="0055187A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55187A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55187A">
        <w:rPr>
          <w:rFonts w:ascii="Arial" w:hAnsi="Arial"/>
          <w:b/>
          <w:color w:val="92D050"/>
          <w:sz w:val="20"/>
        </w:rPr>
        <w:t>La Empresa Común SESAR</w:t>
      </w:r>
    </w:p>
    <w:p w:rsidR="00830B03" w:rsidRPr="0055187A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55187A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Para gestionar adecu</w:t>
      </w:r>
      <w:r w:rsidRPr="0055187A">
        <w:rPr>
          <w:rFonts w:ascii="Arial" w:hAnsi="Arial"/>
          <w:sz w:val="20"/>
        </w:rPr>
        <w:t>adamente este inmenso y ambicioso programa se constituyó una entidad jurídica al amparo del derecho de la Unión Europea. La Empresa Común SESAR («EC SESAR») se constituyó en virtud del Reglamento (CE) n.º 219/2007 del Consejo, de 27 de febrero de 2007, mod</w:t>
      </w:r>
      <w:r w:rsidRPr="0055187A">
        <w:rPr>
          <w:rFonts w:ascii="Arial" w:hAnsi="Arial"/>
          <w:sz w:val="20"/>
        </w:rPr>
        <w:t>ificado por el Reglamento (CE) n.º 1361/2008 del Consejo (el Reglamento SJU) y, en última instancia, por el Reglamento (UE) n.º 721/2014, de 16 de junio de 2014.</w:t>
      </w:r>
    </w:p>
    <w:p w:rsidR="00830B03" w:rsidRPr="0055187A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55187A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Puede obtenerse información adicional sobre las actividades de la EC SESAR en el sitio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55187A">
        <w:rPr>
          <w:rFonts w:ascii="Arial" w:hAnsi="Arial"/>
          <w:color w:val="0070C0"/>
          <w:sz w:val="20"/>
        </w:rPr>
        <w:t>http://www.sesarju.eu</w:t>
      </w:r>
      <w:r w:rsidRPr="0055187A">
        <w:rPr>
          <w:rFonts w:ascii="Arial" w:hAnsi="Arial"/>
          <w:sz w:val="20"/>
        </w:rPr>
        <w:t>.</w:t>
      </w:r>
      <w:r>
        <w:fldChar w:fldCharType="end"/>
      </w:r>
    </w:p>
    <w:p w:rsidR="00561DD5" w:rsidRPr="0055187A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55187A">
        <w:rPr>
          <w:rFonts w:ascii="Arial" w:hAnsi="Arial"/>
          <w:color w:val="002060"/>
          <w:sz w:val="20"/>
        </w:rPr>
        <w:t>PRINCIPALES RESPONSABILIDADES</w:t>
      </w:r>
    </w:p>
    <w:p w:rsidR="00AE75F5" w:rsidRPr="0055187A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5187A">
        <w:rPr>
          <w:rFonts w:ascii="Arial" w:hAnsi="Arial"/>
          <w:color w:val="000000"/>
          <w:sz w:val="20"/>
        </w:rPr>
        <w:t xml:space="preserve">El responsable de planificación trabajará bajo la supervisión del jefe del Departamento de Calidad Corporativa, Planificación y </w:t>
      </w:r>
      <w:r w:rsidRPr="0055187A">
        <w:rPr>
          <w:rFonts w:ascii="Arial" w:hAnsi="Arial"/>
          <w:color w:val="000000"/>
          <w:sz w:val="20"/>
        </w:rPr>
        <w:t>Presentación de Informes, al que informará.</w:t>
      </w:r>
    </w:p>
    <w:p w:rsidR="000E086E" w:rsidRPr="0055187A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5187A">
        <w:rPr>
          <w:rFonts w:ascii="Arial" w:hAnsi="Arial"/>
          <w:sz w:val="20"/>
        </w:rPr>
        <w:t>Las principales responsabilidades del Agente de Planificación estarán dirigidas a:</w:t>
      </w:r>
    </w:p>
    <w:p w:rsidR="00AE75F5" w:rsidRPr="005518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Dar apoyo a las actividades de planificación y programación corporativa de la EC SESAR con arreglo al Reglamento de la Empresa Co</w:t>
      </w:r>
      <w:r w:rsidRPr="0055187A">
        <w:rPr>
          <w:rFonts w:ascii="Arial" w:hAnsi="Arial"/>
          <w:sz w:val="20"/>
        </w:rPr>
        <w:t>mún SESAR (mediante el apoyo al mantenimiento del plan corporativo, etc.); y contribuir, en concreto, a la elaboración del documento único de programación (DOCUP).</w:t>
      </w:r>
    </w:p>
    <w:p w:rsidR="00AE75F5" w:rsidRPr="005518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Contribuir activamente a la elaboración y al mantenimiento de la visión presupuestaria del D</w:t>
      </w:r>
      <w:r w:rsidRPr="0055187A">
        <w:rPr>
          <w:rFonts w:ascii="Arial" w:hAnsi="Arial"/>
          <w:sz w:val="20"/>
        </w:rPr>
        <w:t>OCUP, manteniendo un enfoque descendente, facilitando una perspectiva unificada y garantizando la calidad y la exactitud de los datos durante todo el proceso de elaboración del presupuesto y del proceso de validación, en colaboración con el Departamento de</w:t>
      </w:r>
      <w:r w:rsidRPr="0055187A">
        <w:rPr>
          <w:rFonts w:ascii="Arial" w:hAnsi="Arial"/>
          <w:sz w:val="20"/>
        </w:rPr>
        <w:t xml:space="preserve"> Finanzas de la EC SESAR.</w:t>
      </w:r>
    </w:p>
    <w:p w:rsidR="00AE75F5" w:rsidRPr="005518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Asistir en la preparación y la ejecución del proceso de planificación interno y en la puesta en marcha de dicho proceso en la EC SESAR.</w:t>
      </w:r>
    </w:p>
    <w:p w:rsidR="00AE75F5" w:rsidRPr="005518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Contribuir a implantar de forma efectiva el sistema de gestión de la calidad de la EC SESAR y </w:t>
      </w:r>
      <w:r w:rsidRPr="0055187A">
        <w:rPr>
          <w:rFonts w:ascii="Arial" w:hAnsi="Arial"/>
          <w:sz w:val="20"/>
        </w:rPr>
        <w:t>el sistema de gestión de la documentación y la información, en concreto, identificando y aplicando medidas para mejorar la eficiencia (herramientas, procedimientos) en relación con el presupuesto y la planificación.</w:t>
      </w:r>
    </w:p>
    <w:p w:rsidR="00AE75F5" w:rsidRPr="005518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color w:val="000000"/>
          <w:sz w:val="20"/>
        </w:rPr>
        <w:t>Contribuir a las actividades de formació</w:t>
      </w:r>
      <w:r w:rsidRPr="0055187A">
        <w:rPr>
          <w:rFonts w:ascii="Arial" w:hAnsi="Arial"/>
          <w:color w:val="000000"/>
          <w:sz w:val="20"/>
        </w:rPr>
        <w:t>n y de sensibilización en relación con la planificación y el período de presentación de informes aplicables a la EC SESAR.</w:t>
      </w:r>
    </w:p>
    <w:p w:rsidR="00AE75F5" w:rsidRPr="005518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Actuar como agente de verificación financiera, tal y como exigen las normas financieras de la CE, y de conformidad con estas y con el</w:t>
      </w:r>
      <w:r w:rsidRPr="0055187A">
        <w:rPr>
          <w:rFonts w:ascii="Arial" w:hAnsi="Arial"/>
          <w:sz w:val="20"/>
        </w:rPr>
        <w:t xml:space="preserve"> flujo financiero de la EC SESAR.</w:t>
      </w:r>
    </w:p>
    <w:p w:rsidR="00AE75F5" w:rsidRPr="0055187A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Realizar las tareas adicionales que procedan en interés del servicio.</w:t>
      </w:r>
    </w:p>
    <w:p w:rsidR="00611E3A" w:rsidRPr="0055187A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55187A">
        <w:rPr>
          <w:rFonts w:ascii="Arial" w:hAnsi="Arial"/>
          <w:color w:val="002060"/>
          <w:sz w:val="20"/>
        </w:rPr>
        <w:t>CRITERIOS DE ADMISIBILIDAD NECESARIOS</w:t>
      </w:r>
    </w:p>
    <w:p w:rsidR="002E3D58" w:rsidRPr="0055187A" w:rsidP="002E3D58">
      <w:pPr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Serán admitidos a la fase de selección los candidatos que cumplan los siguientes criterios en la fecha límite de e</w:t>
      </w:r>
      <w:r w:rsidRPr="0055187A">
        <w:rPr>
          <w:rFonts w:ascii="Arial" w:hAnsi="Arial"/>
          <w:sz w:val="20"/>
        </w:rPr>
        <w:t>ntrega de solicitudes:</w:t>
      </w:r>
    </w:p>
    <w:p w:rsidR="002E3D58" w:rsidRPr="0055187A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5518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5187A">
        <w:rPr>
          <w:rFonts w:ascii="Arial" w:hAnsi="Arial"/>
          <w:b/>
          <w:color w:val="92D050"/>
          <w:sz w:val="20"/>
        </w:rPr>
        <w:t>Cualificaciones mínimas necesarias</w:t>
      </w:r>
    </w:p>
    <w:p w:rsidR="006C5ED6" w:rsidRPr="0055187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Nivel de educación postsecundaria acreditado mediante título;</w:t>
      </w:r>
    </w:p>
    <w:p w:rsidR="006C5ED6" w:rsidRPr="0055187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O</w:t>
      </w:r>
    </w:p>
    <w:p w:rsidR="00BA70B1" w:rsidRPr="0055187A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Nivel de educación secundaria acreditado mediante un título que dé acceso a enseñanza postsecundaria, y experiencia profesional </w:t>
      </w:r>
      <w:r w:rsidRPr="0055187A">
        <w:rPr>
          <w:rFonts w:ascii="Arial" w:hAnsi="Arial"/>
          <w:sz w:val="20"/>
        </w:rPr>
        <w:t>adecuada de un mínimo de tres años.</w:t>
      </w:r>
    </w:p>
    <w:p w:rsidR="006C5ED6" w:rsidRPr="0055187A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5518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5187A">
        <w:rPr>
          <w:rFonts w:ascii="Arial" w:hAnsi="Arial"/>
          <w:b/>
          <w:color w:val="92D050"/>
          <w:sz w:val="20"/>
        </w:rPr>
        <w:t>Experiencia profesional mínima</w:t>
      </w:r>
    </w:p>
    <w:p w:rsidR="0001053A" w:rsidRPr="0055187A" w:rsidP="00BA6688">
      <w:pPr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Como mínimo </w:t>
      </w:r>
      <w:r w:rsidRPr="0055187A">
        <w:rPr>
          <w:rFonts w:ascii="Arial" w:hAnsi="Arial"/>
          <w:b/>
          <w:sz w:val="20"/>
        </w:rPr>
        <w:t>nueve años</w:t>
      </w:r>
      <w:r w:rsidRPr="0055187A">
        <w:rPr>
          <w:rFonts w:ascii="Arial" w:hAnsi="Arial"/>
          <w:sz w:val="20"/>
        </w:rPr>
        <w:t xml:space="preserve"> de experiencia profesional acreditada adquirida tras la obtención de las cualificaciones mínimas necesarias en un ámbito relacionado con la naturaleza de las respons</w:t>
      </w:r>
      <w:r w:rsidRPr="0055187A">
        <w:rPr>
          <w:rFonts w:ascii="Arial" w:hAnsi="Arial"/>
          <w:sz w:val="20"/>
        </w:rPr>
        <w:t>abilidades principales, preferiblemente en un entorno de investigación.</w:t>
      </w:r>
    </w:p>
    <w:p w:rsidR="00BA6688" w:rsidRPr="0055187A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5518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5187A">
        <w:rPr>
          <w:rFonts w:ascii="Arial" w:hAnsi="Arial"/>
          <w:b/>
          <w:color w:val="92D050"/>
          <w:sz w:val="20"/>
        </w:rPr>
        <w:t>Competencias lingüísticas mínimas necesarias</w:t>
      </w:r>
    </w:p>
    <w:p w:rsidR="00611E3A" w:rsidRPr="0055187A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Es obligatorio tener un conocimiento profundo de una de las lenguas de la Unión Europea y un conocimiento satisfactorio de otra de ellas, </w:t>
      </w:r>
      <w:r w:rsidRPr="0055187A">
        <w:rPr>
          <w:rFonts w:ascii="Arial" w:hAnsi="Arial"/>
          <w:sz w:val="20"/>
        </w:rPr>
        <w:t>en la medida necesaria para el desempeño de sus funciones.</w:t>
      </w:r>
    </w:p>
    <w:p w:rsidR="008D392D" w:rsidRPr="0055187A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55187A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55187A">
        <w:rPr>
          <w:rFonts w:ascii="Arial" w:hAnsi="Arial"/>
          <w:b/>
          <w:color w:val="92D050"/>
          <w:sz w:val="20"/>
        </w:rPr>
        <w:t>Además, para ser considerada admisible, la persona candidata deberá:</w:t>
      </w:r>
    </w:p>
    <w:p w:rsidR="00561DD5" w:rsidRPr="005518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ser nacional de un Estado miembro de la Unión Europea;</w:t>
      </w:r>
    </w:p>
    <w:p w:rsidR="00561DD5" w:rsidRPr="005518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 xml:space="preserve">haber cumplido las obligaciones impuestas por la legislación en materia </w:t>
      </w:r>
      <w:r w:rsidRPr="0055187A">
        <w:rPr>
          <w:rFonts w:ascii="Arial" w:hAnsi="Arial"/>
          <w:sz w:val="20"/>
        </w:rPr>
        <w:t>de servicio militar;</w:t>
      </w:r>
    </w:p>
    <w:p w:rsidR="00561DD5" w:rsidRPr="005518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estar en plena posesión de los derechos civiles</w:t>
      </w:r>
      <w:r>
        <w:rPr>
          <w:rFonts w:ascii="Arial" w:hAnsi="Arial"/>
          <w:sz w:val="20"/>
          <w:vertAlign w:val="superscript"/>
        </w:rPr>
        <w:footnoteReference w:id="2"/>
      </w:r>
      <w:r w:rsidRPr="0055187A">
        <w:rPr>
          <w:rFonts w:ascii="Arial" w:hAnsi="Arial"/>
          <w:sz w:val="20"/>
        </w:rPr>
        <w:t>;</w:t>
      </w:r>
    </w:p>
    <w:p w:rsidR="00911893" w:rsidRPr="0055187A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estar en buenas condiciones físicas para desempeñar las funciones del puesto</w:t>
      </w:r>
      <w:r>
        <w:rPr>
          <w:rFonts w:ascii="Arial" w:hAnsi="Arial"/>
          <w:sz w:val="20"/>
          <w:vertAlign w:val="superscript"/>
        </w:rPr>
        <w:footnoteReference w:id="3"/>
      </w:r>
      <w:r w:rsidRPr="0055187A">
        <w:rPr>
          <w:rFonts w:ascii="Arial" w:hAnsi="Arial"/>
          <w:sz w:val="20"/>
        </w:rPr>
        <w:t>.</w:t>
      </w:r>
    </w:p>
    <w:p w:rsidR="002C76E1" w:rsidRPr="0055187A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55187A">
        <w:rPr>
          <w:rFonts w:ascii="Arial" w:hAnsi="Arial"/>
          <w:color w:val="002060"/>
          <w:sz w:val="20"/>
        </w:rPr>
        <w:t>INFORMACIÓN ADICIONAL</w:t>
      </w:r>
    </w:p>
    <w:p w:rsidR="002C76E1" w:rsidRPr="0055187A" w:rsidP="002C76E1">
      <w:pPr>
        <w:jc w:val="both"/>
        <w:rPr>
          <w:sz w:val="19"/>
          <w:szCs w:val="19"/>
        </w:rPr>
      </w:pPr>
    </w:p>
    <w:p w:rsidR="002C76E1" w:rsidRPr="0055187A" w:rsidP="002C76E1">
      <w:pPr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En el anuncio de vacante completo se ofrece información sobre otros requisitos, así como una descripción completa del puesto y detalles adicionales sobre los procesos de selección, entrevista y examen. Dicho anuncio puede descargarse de la página web sobre</w:t>
      </w:r>
      <w:r w:rsidRPr="0055187A">
        <w:rPr>
          <w:rFonts w:ascii="Arial" w:hAnsi="Arial"/>
          <w:sz w:val="20"/>
        </w:rPr>
        <w:t xml:space="preserve"> oportunidades profesionales de la Empresa Común: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55187A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55187A">
        <w:t>.</w:t>
      </w:r>
      <w:r w:rsidRPr="0055187A">
        <w:rPr>
          <w:rFonts w:ascii="Arial" w:hAnsi="Arial"/>
          <w:sz w:val="20"/>
        </w:rPr>
        <w:t xml:space="preserve"> Las candidaturas deberán presentarse con arreglo al procedimiento descrito en el anuncio de vacante.</w:t>
      </w:r>
    </w:p>
    <w:p w:rsidR="002C76E1" w:rsidRPr="0055187A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55187A" w:rsidP="002C76E1">
      <w:pPr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Se ofrecerá al candidato seleccionado un con</w:t>
      </w:r>
      <w:r w:rsidRPr="0055187A">
        <w:rPr>
          <w:rFonts w:ascii="Arial" w:hAnsi="Arial"/>
          <w:sz w:val="20"/>
        </w:rPr>
        <w:t>trato de agente temporal (artículo 2, letra f, grado AST4) de una duración determinada inicial de cinco años renovables.</w:t>
      </w:r>
    </w:p>
    <w:p w:rsidR="002C76E1" w:rsidRPr="0055187A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55187A" w:rsidP="002C76E1">
      <w:pPr>
        <w:jc w:val="both"/>
        <w:rPr>
          <w:rFonts w:ascii="Arial" w:hAnsi="Arial" w:cs="Arial"/>
          <w:sz w:val="20"/>
          <w:szCs w:val="20"/>
        </w:rPr>
      </w:pPr>
      <w:r w:rsidRPr="0055187A">
        <w:rPr>
          <w:rFonts w:ascii="Arial" w:hAnsi="Arial"/>
          <w:sz w:val="20"/>
        </w:rPr>
        <w:t>Puede obtenerse información sobre los derechos y las condiciones de empleo correspondientes en el documento siguiente:</w:t>
      </w:r>
    </w:p>
    <w:p w:rsidR="002C76E1" w:rsidRPr="0055187A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"http://eur-lex.europa.eu/LexUriServ/LexUriServ.do?uri=CONSLEG:1962R0031:20140101:ES:PDF" </w:instrText>
      </w:r>
      <w:r>
        <w:fldChar w:fldCharType="separate"/>
      </w:r>
      <w:r w:rsidRPr="0055187A">
        <w:rPr>
          <w:rStyle w:val="Hyperlink"/>
          <w:rFonts w:ascii="Arial" w:hAnsi="Arial"/>
          <w:sz w:val="20"/>
        </w:rPr>
        <w:t>http://eur-lex.europa.eu/LexUriServ/LexUriServ.do?uri=CONSLEG:1962R0031:20140101:ES:PDF</w:t>
      </w:r>
      <w:r>
        <w:fldChar w:fldCharType="end"/>
      </w:r>
    </w:p>
    <w:p w:rsidR="002C76E1" w:rsidRPr="0055187A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55187A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55187A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55187A">
        <w:rPr>
          <w:rFonts w:ascii="Arial" w:hAnsi="Arial"/>
          <w:b/>
          <w:color w:val="FF0000"/>
          <w:sz w:val="20"/>
          <w:u w:val="single"/>
        </w:rPr>
        <w:t>La fecha final para la presentación de las solicitudes es el 16 de abril de 201</w:t>
      </w:r>
      <w:r w:rsidRPr="0055187A">
        <w:rPr>
          <w:rFonts w:ascii="Arial" w:hAnsi="Arial"/>
          <w:b/>
          <w:color w:val="FF0000"/>
          <w:sz w:val="20"/>
          <w:u w:val="single"/>
        </w:rPr>
        <w:t>7, a las 23 h, hora de Bruselas.</w:t>
      </w:r>
    </w:p>
    <w:p w:rsidR="00D63711" w:rsidRPr="0055187A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55187A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55187A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55187A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Antes de la designación, se pedirá al candidato elegido que aporte un certificado policial que confirme la</w:t>
      </w:r>
      <w:r>
        <w:rPr>
          <w:rStyle w:val="FootnoteReference"/>
          <w:rFonts w:ascii="Arial" w:hAnsi="Arial"/>
          <w:sz w:val="16"/>
        </w:rPr>
        <w:t xml:space="preserve"> ausencia de antecedentes penales.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Antes de proceder a la contratación, se someterá al candidato a un examen médico, de modo que la Empresa Común pueda cerciorarse del cumplimiento de las disposiciones establecidas en el artículo 12, apartado 2, letra d)</w:t>
      </w:r>
      <w:r>
        <w:rPr>
          <w:rStyle w:val="FootnoteReference"/>
          <w:rFonts w:ascii="Arial" w:hAnsi="Arial"/>
          <w:sz w:val="16"/>
        </w:rPr>
        <w:t>, del Régimen aplicable a otros agentes de las Comunidades Europeas.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Página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55187A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187A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0A0B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es-ES" w:eastAsia="es-ES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es-ES" w:eastAsia="es-ES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EA49-F73E-4A6D-A461-7ED7453A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9</cp:revision>
  <cp:lastPrinted>2018-02-22T12:20:00Z</cp:lastPrinted>
  <dcterms:created xsi:type="dcterms:W3CDTF">2018-03-01T09:45:00Z</dcterms:created>
  <dcterms:modified xsi:type="dcterms:W3CDTF">2018-03-07T14:25:00Z</dcterms:modified>
</cp:coreProperties>
</file>