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2.0.0 -->
  <w:body>
    <w:p w:rsidR="00925FE1" w:rsidRPr="00764BD0" w:rsidP="00925FE1">
      <w:pPr>
        <w:keepNext/>
        <w:spacing w:before="240" w:after="60"/>
        <w:outlineLvl w:val="0"/>
        <w:rPr>
          <w:rFonts w:ascii="Arial" w:hAnsi="Arial" w:cs="Arial"/>
          <w:b/>
          <w:bCs/>
          <w:smallCaps/>
          <w:kern w:val="32"/>
          <w:sz w:val="20"/>
          <w:szCs w:val="20"/>
        </w:rPr>
      </w:pPr>
      <w:bookmarkStart w:id="0" w:name="_GoBack"/>
      <w:r w:rsidRPr="00764BD0">
        <w:rPr>
          <w:noProof/>
          <w:lang w:val="fr-LU" w:eastAsia="fr-LU" w:bidi="ar-SA"/>
        </w:rPr>
        <w:drawing>
          <wp:anchor distT="0" distB="0" distL="114300" distR="114300" simplePos="0" relativeHeight="251658240" behindDoc="0" locked="0" layoutInCell="1" allowOverlap="1">
            <wp:simplePos x="0" y="0"/>
            <wp:positionH relativeFrom="page">
              <wp:posOffset>1137920</wp:posOffset>
            </wp:positionH>
            <wp:positionV relativeFrom="page">
              <wp:posOffset>932815</wp:posOffset>
            </wp:positionV>
            <wp:extent cx="1625600" cy="863600"/>
            <wp:effectExtent l="0" t="0" r="0" b="0"/>
            <wp:wrapNone/>
            <wp:docPr id="4"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15553"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5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E1" w:rsidRPr="00764BD0" w:rsidP="00925FE1">
      <w:pPr>
        <w:tabs>
          <w:tab w:val="center" w:pos="4536"/>
          <w:tab w:val="right" w:pos="9072"/>
        </w:tabs>
        <w:spacing w:line="320" w:lineRule="exact"/>
        <w:ind w:left="3600"/>
        <w:rPr>
          <w:rFonts w:ascii="Arial" w:hAnsi="Arial" w:cs="Arial"/>
          <w:noProof/>
          <w:color w:val="07398A"/>
          <w:sz w:val="32"/>
          <w:szCs w:val="32"/>
        </w:rPr>
      </w:pPr>
      <w:r w:rsidRPr="00764BD0">
        <w:rPr>
          <w:noProof/>
          <w:lang w:val="fr-LU" w:eastAsia="fr-LU" w:bidi="ar-SA"/>
        </w:rPr>
        <w:drawing>
          <wp:anchor distT="0" distB="0" distL="114300" distR="114300" simplePos="0" relativeHeight="251659264" behindDoc="0" locked="0" layoutInCell="1" allowOverlap="1">
            <wp:simplePos x="0" y="0"/>
            <wp:positionH relativeFrom="page">
              <wp:posOffset>3010535</wp:posOffset>
            </wp:positionH>
            <wp:positionV relativeFrom="page">
              <wp:posOffset>1148715</wp:posOffset>
            </wp:positionV>
            <wp:extent cx="17780" cy="450215"/>
            <wp:effectExtent l="0" t="0" r="1270" b="6985"/>
            <wp:wrapNone/>
            <wp:docPr id="3"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11875"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BD0">
        <w:rPr>
          <w:rFonts w:ascii="Arial" w:hAnsi="Arial"/>
          <w:noProof/>
          <w:color w:val="07398A"/>
          <w:sz w:val="32"/>
        </w:rPr>
        <w:t>Constitution d'une liste de réserve</w:t>
      </w:r>
    </w:p>
    <w:p w:rsidR="00925FE1" w:rsidRPr="00764BD0" w:rsidP="00925FE1">
      <w:pPr>
        <w:tabs>
          <w:tab w:val="center" w:pos="4536"/>
          <w:tab w:val="right" w:pos="9072"/>
        </w:tabs>
        <w:spacing w:line="320" w:lineRule="exact"/>
        <w:ind w:left="3600"/>
        <w:rPr>
          <w:rFonts w:ascii="Arial" w:hAnsi="Arial" w:cs="Arial"/>
          <w:noProof/>
          <w:color w:val="92D050"/>
        </w:rPr>
      </w:pPr>
      <w:r w:rsidRPr="00764BD0">
        <w:rPr>
          <w:rFonts w:ascii="Arial" w:hAnsi="Arial"/>
          <w:noProof/>
          <w:color w:val="92D050"/>
        </w:rPr>
        <w:t>Juriste (réf. CN267)</w:t>
      </w:r>
    </w:p>
    <w:p w:rsidR="00925FE1" w:rsidRPr="00764BD0" w:rsidP="00925FE1">
      <w:pPr>
        <w:tabs>
          <w:tab w:val="center" w:pos="4536"/>
          <w:tab w:val="right" w:pos="9072"/>
        </w:tabs>
        <w:spacing w:line="320" w:lineRule="exact"/>
        <w:ind w:left="3600"/>
        <w:rPr>
          <w:rFonts w:ascii="Arial" w:hAnsi="Arial" w:cs="Arial"/>
          <w:noProof/>
          <w:color w:val="92D050"/>
          <w:sz w:val="20"/>
          <w:szCs w:val="20"/>
        </w:rPr>
      </w:pPr>
      <w:r w:rsidRPr="00764BD0">
        <w:rPr>
          <w:rFonts w:ascii="Arial" w:hAnsi="Arial"/>
          <w:noProof/>
          <w:color w:val="92D050"/>
          <w:sz w:val="20"/>
        </w:rPr>
        <w:t>Durée: 2 ans – Agent contractuel – GF IV</w:t>
      </w:r>
    </w:p>
    <w:p w:rsidR="00925FE1" w:rsidRPr="00764BD0" w:rsidP="00925FE1">
      <w:pPr>
        <w:tabs>
          <w:tab w:val="center" w:pos="4536"/>
          <w:tab w:val="right" w:pos="9072"/>
        </w:tabs>
        <w:spacing w:line="320" w:lineRule="exact"/>
        <w:ind w:left="3600"/>
        <w:rPr>
          <w:rFonts w:ascii="Arial" w:hAnsi="Arial" w:cs="Arial"/>
          <w:noProof/>
          <w:color w:val="92D050"/>
          <w:sz w:val="20"/>
          <w:szCs w:val="20"/>
        </w:rPr>
      </w:pPr>
    </w:p>
    <w:p w:rsidR="00925FE1" w:rsidRPr="00764BD0" w:rsidP="00925FE1">
      <w:pPr>
        <w:autoSpaceDE w:val="0"/>
        <w:autoSpaceDN w:val="0"/>
        <w:adjustRightInd w:val="0"/>
        <w:ind w:right="-180"/>
        <w:jc w:val="both"/>
        <w:rPr>
          <w:rFonts w:ascii="Arial" w:hAnsi="Arial" w:cs="Arial"/>
          <w:color w:val="000000"/>
          <w:sz w:val="20"/>
          <w:szCs w:val="20"/>
        </w:rPr>
      </w:pPr>
    </w:p>
    <w:p w:rsidR="00925FE1" w:rsidRPr="00764BD0" w:rsidP="00925FE1">
      <w:pPr>
        <w:jc w:val="both"/>
        <w:rPr>
          <w:rFonts w:ascii="Arial" w:hAnsi="Arial" w:cs="Arial"/>
          <w:sz w:val="20"/>
          <w:szCs w:val="20"/>
        </w:rPr>
      </w:pPr>
      <w:r w:rsidRPr="00764BD0">
        <w:rPr>
          <w:rFonts w:ascii="Arial" w:hAnsi="Arial"/>
          <w:sz w:val="20"/>
        </w:rPr>
        <w:t xml:space="preserve">L'entreprise commune SESAR a lancé une procédure de recrutement en vue de constituer une </w:t>
      </w:r>
      <w:r w:rsidRPr="00764BD0">
        <w:rPr>
          <w:rFonts w:ascii="Arial" w:hAnsi="Arial"/>
          <w:b/>
          <w:sz w:val="20"/>
        </w:rPr>
        <w:t>liste de réserve</w:t>
      </w:r>
      <w:r w:rsidRPr="00764BD0">
        <w:rPr>
          <w:rFonts w:ascii="Arial" w:hAnsi="Arial"/>
          <w:sz w:val="20"/>
        </w:rPr>
        <w:t xml:space="preserve"> pour un poste de </w:t>
      </w:r>
      <w:r w:rsidRPr="00764BD0">
        <w:rPr>
          <w:rFonts w:ascii="Arial" w:hAnsi="Arial"/>
          <w:b/>
          <w:sz w:val="20"/>
        </w:rPr>
        <w:t>juriste</w:t>
      </w:r>
      <w:r w:rsidRPr="00764BD0">
        <w:rPr>
          <w:rFonts w:ascii="Arial" w:hAnsi="Arial"/>
          <w:sz w:val="20"/>
        </w:rPr>
        <w:t xml:space="preserve">. Le lieu </w:t>
      </w:r>
      <w:r w:rsidRPr="00764BD0">
        <w:rPr>
          <w:rFonts w:ascii="Arial" w:hAnsi="Arial"/>
          <w:sz w:val="20"/>
        </w:rPr>
        <w:t>d'affectation est Bruxelles (Belgique), où se trouve le siège de l'entreprise commune SESAR.</w:t>
      </w:r>
    </w:p>
    <w:p w:rsidR="00925FE1" w:rsidRPr="00764BD0" w:rsidP="00925FE1">
      <w:pPr>
        <w:jc w:val="both"/>
        <w:rPr>
          <w:rFonts w:ascii="Arial" w:hAnsi="Arial" w:cs="Arial"/>
          <w:sz w:val="20"/>
          <w:szCs w:val="20"/>
        </w:rPr>
      </w:pPr>
    </w:p>
    <w:p w:rsidR="00925FE1" w:rsidRPr="00764BD0" w:rsidP="00925FE1">
      <w:pPr>
        <w:jc w:val="both"/>
        <w:rPr>
          <w:rFonts w:ascii="Arial" w:hAnsi="Arial" w:cs="Arial"/>
          <w:sz w:val="20"/>
          <w:szCs w:val="20"/>
        </w:rPr>
      </w:pPr>
      <w:r w:rsidRPr="00764BD0">
        <w:rPr>
          <w:rFonts w:ascii="Arial" w:hAnsi="Arial"/>
          <w:sz w:val="20"/>
        </w:rPr>
        <w:t xml:space="preserve">Pour de plus amples informations sur les activités de l'entreprise commune SESAR, consultez le site: </w:t>
      </w:r>
      <w:r>
        <w:fldChar w:fldCharType="begin"/>
      </w:r>
      <w:r>
        <w:instrText xml:space="preserve"> HYPERLINK "http://www.sesarju.eu/public/subsite_homepage/homepage.html" </w:instrText>
      </w:r>
      <w:r>
        <w:fldChar w:fldCharType="separate"/>
      </w:r>
      <w:r w:rsidRPr="00764BD0">
        <w:rPr>
          <w:color w:val="0070C0"/>
          <w:sz w:val="20"/>
          <w:u w:val="single"/>
        </w:rPr>
        <w:t>http://www.sesarju.eu</w:t>
      </w:r>
      <w:r>
        <w:fldChar w:fldCharType="end"/>
      </w:r>
      <w:r w:rsidRPr="00764BD0">
        <w:rPr>
          <w:rFonts w:ascii="Arial" w:hAnsi="Arial"/>
          <w:sz w:val="20"/>
        </w:rPr>
        <w:t>.</w:t>
      </w:r>
    </w:p>
    <w:p w:rsidR="00925FE1" w:rsidRPr="00764BD0" w:rsidP="00925FE1">
      <w:pPr>
        <w:keepNext/>
        <w:numPr>
          <w:ilvl w:val="0"/>
          <w:numId w:val="35"/>
        </w:numPr>
        <w:spacing w:before="240" w:after="60"/>
        <w:jc w:val="both"/>
        <w:outlineLvl w:val="1"/>
        <w:rPr>
          <w:rFonts w:ascii="Arial" w:hAnsi="Arial" w:cs="Arial"/>
          <w:b/>
          <w:color w:val="002060"/>
          <w:sz w:val="20"/>
          <w:szCs w:val="20"/>
        </w:rPr>
      </w:pPr>
      <w:r w:rsidRPr="00764BD0">
        <w:rPr>
          <w:rFonts w:ascii="Arial" w:hAnsi="Arial"/>
          <w:b/>
          <w:color w:val="002060"/>
          <w:sz w:val="20"/>
        </w:rPr>
        <w:t>PRINCIPALES RESPONSABILITÉS</w:t>
      </w:r>
    </w:p>
    <w:p w:rsidR="00925FE1" w:rsidRPr="00764BD0" w:rsidP="00925FE1">
      <w:pPr>
        <w:jc w:val="both"/>
        <w:rPr>
          <w:rFonts w:ascii="Arial" w:hAnsi="Arial" w:cs="Arial"/>
          <w:sz w:val="20"/>
          <w:szCs w:val="20"/>
        </w:rPr>
      </w:pPr>
      <w:r w:rsidRPr="00764BD0">
        <w:rPr>
          <w:rFonts w:ascii="Arial" w:hAnsi="Arial"/>
          <w:sz w:val="20"/>
        </w:rPr>
        <w:t xml:space="preserve">Le juriste sera affecté au secteur «Affaires juridiques et marchés publics» de l'entreprise commune. </w:t>
      </w:r>
    </w:p>
    <w:p w:rsidR="00925FE1" w:rsidRPr="00764BD0" w:rsidP="00925FE1">
      <w:pPr>
        <w:jc w:val="both"/>
        <w:rPr>
          <w:rFonts w:ascii="Arial" w:hAnsi="Arial" w:cs="Arial"/>
          <w:sz w:val="20"/>
          <w:szCs w:val="20"/>
        </w:rPr>
      </w:pPr>
    </w:p>
    <w:p w:rsidR="00925FE1" w:rsidRPr="00764BD0" w:rsidP="00925FE1">
      <w:pPr>
        <w:jc w:val="both"/>
        <w:rPr>
          <w:rFonts w:ascii="Arial" w:hAnsi="Arial" w:cs="Arial"/>
          <w:sz w:val="20"/>
          <w:szCs w:val="20"/>
        </w:rPr>
      </w:pPr>
      <w:r w:rsidRPr="00764BD0">
        <w:rPr>
          <w:rFonts w:ascii="Arial" w:hAnsi="Arial"/>
          <w:sz w:val="20"/>
        </w:rPr>
        <w:t>Placé sous la responsabilité directe du chef de secteur, le juriste devra s'acquitter des</w:t>
      </w:r>
      <w:r w:rsidRPr="00764BD0">
        <w:rPr>
          <w:rFonts w:ascii="Arial" w:hAnsi="Arial"/>
          <w:sz w:val="20"/>
        </w:rPr>
        <w:t xml:space="preserve"> tâches suivantes, notamment:</w:t>
      </w:r>
    </w:p>
    <w:p w:rsidR="00925FE1" w:rsidRPr="00764BD0" w:rsidP="00925FE1">
      <w:pPr>
        <w:numPr>
          <w:ilvl w:val="0"/>
          <w:numId w:val="29"/>
        </w:numPr>
        <w:autoSpaceDE w:val="0"/>
        <w:autoSpaceDN w:val="0"/>
        <w:adjustRightInd w:val="0"/>
        <w:rPr>
          <w:rFonts w:ascii="Helvetica" w:hAnsi="Helvetica" w:cs="Helvetica"/>
          <w:color w:val="000000"/>
          <w:sz w:val="19"/>
          <w:szCs w:val="19"/>
        </w:rPr>
      </w:pPr>
      <w:r w:rsidRPr="00764BD0">
        <w:rPr>
          <w:rFonts w:ascii="Helvetica" w:hAnsi="Helvetica"/>
          <w:color w:val="000000"/>
          <w:sz w:val="19"/>
        </w:rPr>
        <w:t xml:space="preserve">rédiger des avis, rapports et documents de travail sur tout problème juridique survenant dans le cadre des activités quotidiennes de l'entreprise commune et dans la mise en œuvre des réglementations et politiques applicables; </w:t>
      </w:r>
    </w:p>
    <w:p w:rsidR="00925FE1" w:rsidRPr="00764BD0" w:rsidP="00925FE1">
      <w:pPr>
        <w:numPr>
          <w:ilvl w:val="0"/>
          <w:numId w:val="29"/>
        </w:numPr>
        <w:autoSpaceDE w:val="0"/>
        <w:autoSpaceDN w:val="0"/>
        <w:adjustRightInd w:val="0"/>
        <w:jc w:val="both"/>
        <w:rPr>
          <w:rFonts w:ascii="Helvetica" w:hAnsi="Helvetica" w:cs="Helvetica"/>
          <w:color w:val="000000"/>
          <w:sz w:val="19"/>
          <w:szCs w:val="19"/>
        </w:rPr>
      </w:pPr>
      <w:r w:rsidRPr="00764BD0">
        <w:rPr>
          <w:rFonts w:ascii="Helvetica" w:hAnsi="Helvetica"/>
          <w:color w:val="000000"/>
          <w:sz w:val="19"/>
        </w:rPr>
        <w:t xml:space="preserve">analyser des documents juridiques et réaliser des études/analyses sur l'environnement juridique et réglementaire pertinent dans lequel l'entreprise commune exerce ses activités; </w:t>
      </w:r>
    </w:p>
    <w:p w:rsidR="00925FE1" w:rsidRPr="00764BD0" w:rsidP="00925FE1">
      <w:pPr>
        <w:numPr>
          <w:ilvl w:val="0"/>
          <w:numId w:val="29"/>
        </w:numPr>
        <w:autoSpaceDE w:val="0"/>
        <w:autoSpaceDN w:val="0"/>
        <w:adjustRightInd w:val="0"/>
        <w:rPr>
          <w:rFonts w:ascii="Helvetica" w:hAnsi="Helvetica" w:cs="Helvetica"/>
          <w:color w:val="000000"/>
          <w:sz w:val="19"/>
          <w:szCs w:val="19"/>
        </w:rPr>
      </w:pPr>
      <w:r w:rsidRPr="00764BD0">
        <w:rPr>
          <w:rFonts w:ascii="Helvetica" w:hAnsi="Helvetica"/>
          <w:color w:val="000000"/>
          <w:sz w:val="19"/>
        </w:rPr>
        <w:t xml:space="preserve">aider à la préparation des instruments juridiques de l'entreprise commune; </w:t>
      </w:r>
    </w:p>
    <w:p w:rsidR="00925FE1" w:rsidRPr="00764BD0" w:rsidP="00925FE1">
      <w:pPr>
        <w:numPr>
          <w:ilvl w:val="0"/>
          <w:numId w:val="29"/>
        </w:numPr>
        <w:autoSpaceDE w:val="0"/>
        <w:autoSpaceDN w:val="0"/>
        <w:adjustRightInd w:val="0"/>
        <w:jc w:val="both"/>
        <w:rPr>
          <w:rFonts w:ascii="Helvetica" w:hAnsi="Helvetica" w:cs="Helvetica"/>
          <w:color w:val="000000"/>
          <w:sz w:val="19"/>
          <w:szCs w:val="19"/>
        </w:rPr>
      </w:pPr>
      <w:r w:rsidRPr="00764BD0">
        <w:rPr>
          <w:rFonts w:ascii="Helvetica" w:hAnsi="Helvetica"/>
          <w:color w:val="000000"/>
          <w:sz w:val="19"/>
        </w:rPr>
        <w:t xml:space="preserve">fournir des conseils juridiques sur la formulation et l'interprétation de la réglementation applicable à l'entreprise commune (en particulier le règlement financier); </w:t>
      </w:r>
    </w:p>
    <w:p w:rsidR="00925FE1" w:rsidRPr="00764BD0" w:rsidP="00925FE1">
      <w:pPr>
        <w:numPr>
          <w:ilvl w:val="0"/>
          <w:numId w:val="29"/>
        </w:numPr>
        <w:autoSpaceDE w:val="0"/>
        <w:autoSpaceDN w:val="0"/>
        <w:adjustRightInd w:val="0"/>
        <w:jc w:val="both"/>
        <w:rPr>
          <w:rFonts w:ascii="Helvetica" w:hAnsi="Helvetica" w:cs="Helvetica"/>
          <w:color w:val="000000"/>
          <w:sz w:val="19"/>
          <w:szCs w:val="19"/>
        </w:rPr>
      </w:pPr>
      <w:r w:rsidRPr="00764BD0">
        <w:rPr>
          <w:rFonts w:ascii="Helvetica" w:hAnsi="Helvetica"/>
          <w:color w:val="000000"/>
          <w:sz w:val="19"/>
        </w:rPr>
        <w:t>préparer et gérer des procédures de subvention et de marchés publics ainsi que les procé</w:t>
      </w:r>
      <w:r w:rsidRPr="00764BD0">
        <w:rPr>
          <w:rFonts w:ascii="Helvetica" w:hAnsi="Helvetica"/>
          <w:color w:val="000000"/>
          <w:sz w:val="19"/>
        </w:rPr>
        <w:t>dures et modalités contractuelles qui en résultent, et fournir des conseils à leur sujet.</w:t>
      </w:r>
    </w:p>
    <w:p w:rsidR="00925FE1" w:rsidRPr="00764BD0" w:rsidP="00925FE1">
      <w:pPr>
        <w:keepNext/>
        <w:numPr>
          <w:ilvl w:val="0"/>
          <w:numId w:val="35"/>
        </w:numPr>
        <w:spacing w:before="240" w:after="60"/>
        <w:jc w:val="both"/>
        <w:outlineLvl w:val="1"/>
        <w:rPr>
          <w:rFonts w:ascii="Arial" w:hAnsi="Arial" w:cs="Arial"/>
          <w:b/>
          <w:color w:val="002060"/>
          <w:sz w:val="20"/>
          <w:szCs w:val="20"/>
        </w:rPr>
      </w:pPr>
      <w:r w:rsidRPr="00764BD0">
        <w:rPr>
          <w:rFonts w:ascii="Arial" w:hAnsi="Arial"/>
          <w:b/>
          <w:color w:val="002060"/>
          <w:sz w:val="20"/>
        </w:rPr>
        <w:t>CRITÈRES D’ADMISSIBILITÉ</w:t>
      </w:r>
    </w:p>
    <w:p w:rsidR="00925FE1" w:rsidRPr="00764BD0" w:rsidP="00925FE1">
      <w:pPr>
        <w:autoSpaceDE w:val="0"/>
        <w:autoSpaceDN w:val="0"/>
        <w:adjustRightInd w:val="0"/>
        <w:jc w:val="both"/>
        <w:rPr>
          <w:rFonts w:ascii="Arial" w:hAnsi="Arial" w:cs="Arial"/>
          <w:b/>
          <w:sz w:val="20"/>
          <w:szCs w:val="20"/>
          <w:u w:val="single"/>
        </w:rPr>
      </w:pPr>
      <w:r w:rsidRPr="00764BD0">
        <w:rPr>
          <w:rFonts w:ascii="Arial" w:hAnsi="Arial"/>
          <w:b/>
          <w:sz w:val="20"/>
          <w:u w:val="single"/>
        </w:rPr>
        <w:t xml:space="preserve">Les candidats doivent être inscrits sur une liste de réserve valide de l'Office européen de sélection du personnel (EPSO) pour des agents </w:t>
      </w:r>
      <w:r w:rsidRPr="00764BD0">
        <w:rPr>
          <w:rFonts w:ascii="Arial" w:hAnsi="Arial"/>
          <w:b/>
          <w:sz w:val="20"/>
          <w:u w:val="single"/>
        </w:rPr>
        <w:t>contractuels relevant du groupe de fonctions IV et possédant un profil approprié.</w:t>
      </w:r>
    </w:p>
    <w:p w:rsidR="00925FE1" w:rsidRPr="00764BD0" w:rsidP="00925FE1">
      <w:pPr>
        <w:jc w:val="both"/>
        <w:rPr>
          <w:rFonts w:ascii="Arial" w:hAnsi="Arial" w:cs="Arial"/>
          <w:sz w:val="20"/>
          <w:szCs w:val="20"/>
        </w:rPr>
      </w:pPr>
    </w:p>
    <w:p w:rsidR="00925FE1" w:rsidRPr="00764BD0" w:rsidP="00925FE1">
      <w:pPr>
        <w:jc w:val="both"/>
        <w:outlineLvl w:val="2"/>
        <w:rPr>
          <w:rFonts w:ascii="Arial" w:hAnsi="Arial" w:cs="Arial"/>
          <w:b/>
          <w:iCs/>
          <w:color w:val="92D050"/>
          <w:sz w:val="20"/>
          <w:szCs w:val="20"/>
        </w:rPr>
      </w:pPr>
      <w:r w:rsidRPr="00764BD0">
        <w:rPr>
          <w:rFonts w:ascii="Arial" w:hAnsi="Arial"/>
          <w:b/>
          <w:color w:val="92D050"/>
          <w:sz w:val="20"/>
        </w:rPr>
        <w:t>3.1</w:t>
      </w:r>
      <w:r w:rsidRPr="00764BD0">
        <w:tab/>
      </w:r>
      <w:r w:rsidRPr="00764BD0">
        <w:rPr>
          <w:rFonts w:ascii="Arial" w:hAnsi="Arial"/>
          <w:b/>
          <w:color w:val="92D050"/>
          <w:sz w:val="20"/>
        </w:rPr>
        <w:t>Qualifications minimales requises</w:t>
      </w:r>
    </w:p>
    <w:p w:rsidR="00925FE1" w:rsidRPr="00764BD0" w:rsidP="00925FE1">
      <w:pPr>
        <w:jc w:val="both"/>
        <w:rPr>
          <w:rFonts w:ascii="Arial" w:hAnsi="Arial" w:cs="Arial"/>
          <w:sz w:val="20"/>
          <w:szCs w:val="20"/>
        </w:rPr>
      </w:pPr>
      <w:r w:rsidRPr="00764BD0">
        <w:rPr>
          <w:rFonts w:ascii="Arial" w:hAnsi="Arial"/>
          <w:sz w:val="20"/>
        </w:rPr>
        <w:t>Posséder un niveau d'enseignement correspondant à un cycle complet d’études universitaires en droit, sanctionné par un diplôme, lorsque</w:t>
      </w:r>
      <w:r w:rsidRPr="00764BD0">
        <w:rPr>
          <w:rFonts w:ascii="Arial" w:hAnsi="Arial"/>
          <w:sz w:val="20"/>
        </w:rPr>
        <w:t xml:space="preserve"> la durée normale de ces études est de quatre années ou plus;</w:t>
      </w:r>
    </w:p>
    <w:p w:rsidR="00925FE1" w:rsidRPr="00764BD0" w:rsidP="00925FE1">
      <w:pPr>
        <w:jc w:val="center"/>
        <w:rPr>
          <w:rFonts w:ascii="Arial" w:hAnsi="Arial" w:cs="Arial"/>
          <w:sz w:val="20"/>
          <w:szCs w:val="20"/>
        </w:rPr>
      </w:pPr>
      <w:r w:rsidRPr="00764BD0">
        <w:rPr>
          <w:rFonts w:ascii="Arial" w:hAnsi="Arial"/>
          <w:sz w:val="20"/>
        </w:rPr>
        <w:t>ou</w:t>
      </w:r>
    </w:p>
    <w:p w:rsidR="00925FE1" w:rsidRPr="00764BD0" w:rsidP="00925FE1">
      <w:pPr>
        <w:jc w:val="both"/>
        <w:rPr>
          <w:rFonts w:ascii="Arial" w:hAnsi="Arial" w:cs="Arial"/>
          <w:sz w:val="20"/>
          <w:szCs w:val="20"/>
        </w:rPr>
      </w:pPr>
      <w:r w:rsidRPr="00764BD0">
        <w:rPr>
          <w:rFonts w:ascii="Arial" w:hAnsi="Arial"/>
          <w:sz w:val="20"/>
        </w:rPr>
        <w:t xml:space="preserve">posséder un niveau d'enseignement correspondant à un cycle complet d’études universitaires en droit, sanctionné par un diplôme, lorsque la durée normale de ces études est de trois années, et </w:t>
      </w:r>
      <w:r w:rsidRPr="00764BD0">
        <w:rPr>
          <w:rFonts w:ascii="Arial" w:hAnsi="Arial"/>
          <w:sz w:val="20"/>
        </w:rPr>
        <w:t>une expérience professionnelle pertinente d'au moins une année acquise après l'obtention du diplôme universitaire.</w:t>
      </w:r>
    </w:p>
    <w:p w:rsidR="00925FE1" w:rsidRPr="00764BD0" w:rsidP="00925FE1">
      <w:pPr>
        <w:jc w:val="both"/>
        <w:rPr>
          <w:rFonts w:ascii="Arial" w:hAnsi="Arial" w:cs="Arial"/>
          <w:sz w:val="20"/>
          <w:szCs w:val="20"/>
        </w:rPr>
      </w:pPr>
    </w:p>
    <w:p w:rsidR="00925FE1" w:rsidRPr="00764BD0" w:rsidP="00925FE1">
      <w:pPr>
        <w:jc w:val="both"/>
        <w:rPr>
          <w:rFonts w:ascii="Arial" w:hAnsi="Arial" w:cs="Arial"/>
          <w:sz w:val="20"/>
          <w:szCs w:val="20"/>
        </w:rPr>
      </w:pPr>
      <w:r w:rsidRPr="00764BD0">
        <w:rPr>
          <w:rFonts w:ascii="Arial" w:hAnsi="Arial"/>
          <w:b/>
          <w:color w:val="92D050"/>
          <w:sz w:val="20"/>
        </w:rPr>
        <w:t>3.2</w:t>
      </w:r>
      <w:r w:rsidRPr="00764BD0">
        <w:tab/>
      </w:r>
      <w:r w:rsidRPr="00764BD0">
        <w:rPr>
          <w:rFonts w:ascii="Arial" w:hAnsi="Arial"/>
          <w:b/>
          <w:color w:val="92D050"/>
          <w:sz w:val="20"/>
        </w:rPr>
        <w:t>Expérience professionnelle minimale requise</w:t>
      </w:r>
    </w:p>
    <w:p w:rsidR="00925FE1" w:rsidRPr="00764BD0" w:rsidP="00925FE1">
      <w:pPr>
        <w:jc w:val="both"/>
        <w:rPr>
          <w:rFonts w:ascii="Arial" w:hAnsi="Arial" w:cs="Arial"/>
          <w:sz w:val="20"/>
          <w:szCs w:val="20"/>
        </w:rPr>
      </w:pPr>
      <w:r w:rsidRPr="00764BD0">
        <w:rPr>
          <w:rFonts w:ascii="Arial" w:hAnsi="Arial"/>
          <w:sz w:val="20"/>
        </w:rPr>
        <w:t xml:space="preserve">Au minimum </w:t>
      </w:r>
      <w:r w:rsidRPr="00764BD0">
        <w:rPr>
          <w:rFonts w:ascii="Arial" w:hAnsi="Arial"/>
          <w:b/>
          <w:sz w:val="20"/>
        </w:rPr>
        <w:t>trois années</w:t>
      </w:r>
      <w:r w:rsidRPr="00764BD0">
        <w:rPr>
          <w:rFonts w:ascii="Arial" w:hAnsi="Arial"/>
          <w:sz w:val="20"/>
        </w:rPr>
        <w:t xml:space="preserve"> d'expérience professionnelle attestée acquise après l'obtention des </w:t>
      </w:r>
      <w:r w:rsidRPr="00764BD0">
        <w:rPr>
          <w:rFonts w:ascii="Arial" w:hAnsi="Arial"/>
          <w:sz w:val="20"/>
        </w:rPr>
        <w:t>qualifications minimales requises.</w:t>
      </w:r>
    </w:p>
    <w:p w:rsidR="00925FE1" w:rsidRPr="00764BD0" w:rsidP="00925FE1">
      <w:pPr>
        <w:jc w:val="both"/>
        <w:rPr>
          <w:rFonts w:ascii="Arial" w:hAnsi="Arial" w:cs="Arial"/>
          <w:iCs/>
          <w:color w:val="92D050"/>
          <w:sz w:val="20"/>
          <w:szCs w:val="20"/>
        </w:rPr>
      </w:pPr>
    </w:p>
    <w:p w:rsidR="00925FE1" w:rsidRPr="00764BD0" w:rsidP="00925FE1">
      <w:pPr>
        <w:jc w:val="both"/>
        <w:rPr>
          <w:rFonts w:ascii="Arial" w:hAnsi="Arial" w:cs="Arial"/>
          <w:sz w:val="20"/>
          <w:szCs w:val="20"/>
        </w:rPr>
      </w:pPr>
      <w:r w:rsidRPr="00764BD0">
        <w:rPr>
          <w:rFonts w:ascii="Arial" w:hAnsi="Arial"/>
          <w:b/>
          <w:color w:val="92D050"/>
          <w:sz w:val="20"/>
        </w:rPr>
        <w:t>3.3</w:t>
      </w:r>
      <w:r w:rsidRPr="00764BD0">
        <w:tab/>
      </w:r>
      <w:r w:rsidRPr="00764BD0">
        <w:rPr>
          <w:rFonts w:ascii="Arial" w:hAnsi="Arial"/>
          <w:b/>
          <w:color w:val="92D050"/>
          <w:sz w:val="20"/>
        </w:rPr>
        <w:t>Compétences linguistiques requises</w:t>
      </w:r>
    </w:p>
    <w:p w:rsidR="00925FE1" w:rsidRPr="00764BD0" w:rsidP="00925FE1">
      <w:pPr>
        <w:jc w:val="both"/>
        <w:rPr>
          <w:rFonts w:ascii="Arial" w:hAnsi="Arial" w:cs="Arial"/>
          <w:sz w:val="20"/>
          <w:szCs w:val="20"/>
        </w:rPr>
      </w:pPr>
      <w:r w:rsidRPr="00764BD0">
        <w:rPr>
          <w:rFonts w:ascii="Arial" w:hAnsi="Arial"/>
          <w:sz w:val="20"/>
        </w:rPr>
        <w:t>Il est obligatoire de posséder une connaissance approfondie de l'anglais et une connaissance satisfaisante d'une autre langue de l'Union européenne dans la mesure nécessaire à l'acc</w:t>
      </w:r>
      <w:r w:rsidRPr="00764BD0">
        <w:rPr>
          <w:rFonts w:ascii="Arial" w:hAnsi="Arial"/>
          <w:sz w:val="20"/>
        </w:rPr>
        <w:t>omplissement des tâches attribuées.</w:t>
      </w:r>
    </w:p>
    <w:p w:rsidR="00925FE1" w:rsidRPr="00764BD0" w:rsidP="00925FE1">
      <w:pPr>
        <w:autoSpaceDE w:val="0"/>
        <w:autoSpaceDN w:val="0"/>
        <w:adjustRightInd w:val="0"/>
        <w:ind w:right="-180"/>
        <w:jc w:val="both"/>
        <w:rPr>
          <w:rFonts w:ascii="Arial" w:hAnsi="Arial" w:cs="Arial"/>
          <w:color w:val="000000"/>
          <w:sz w:val="20"/>
          <w:szCs w:val="20"/>
        </w:rPr>
      </w:pPr>
    </w:p>
    <w:p w:rsidR="00925FE1" w:rsidRPr="00764BD0" w:rsidP="00925FE1">
      <w:pPr>
        <w:jc w:val="both"/>
        <w:outlineLvl w:val="2"/>
        <w:rPr>
          <w:rFonts w:ascii="Arial" w:hAnsi="Arial" w:cs="Arial"/>
          <w:b/>
          <w:iCs/>
          <w:color w:val="92D050"/>
          <w:sz w:val="20"/>
          <w:szCs w:val="20"/>
        </w:rPr>
      </w:pPr>
      <w:r w:rsidRPr="00764BD0">
        <w:rPr>
          <w:rFonts w:ascii="Arial" w:hAnsi="Arial"/>
          <w:b/>
          <w:color w:val="92D050"/>
          <w:sz w:val="20"/>
        </w:rPr>
        <w:t>3.3</w:t>
      </w:r>
      <w:r w:rsidRPr="00764BD0">
        <w:tab/>
      </w:r>
      <w:r w:rsidRPr="00764BD0">
        <w:rPr>
          <w:rFonts w:ascii="Arial" w:hAnsi="Arial"/>
          <w:b/>
          <w:color w:val="92D050"/>
          <w:sz w:val="20"/>
        </w:rPr>
        <w:t>De surcroît, pour être admissible, le candidat doit:</w:t>
      </w:r>
    </w:p>
    <w:p w:rsidR="00925FE1" w:rsidRPr="00764BD0" w:rsidP="00925FE1">
      <w:pPr>
        <w:numPr>
          <w:ilvl w:val="0"/>
          <w:numId w:val="29"/>
        </w:numPr>
        <w:suppressAutoHyphens/>
        <w:ind w:left="284" w:hanging="284"/>
        <w:contextualSpacing/>
        <w:jc w:val="both"/>
        <w:rPr>
          <w:rFonts w:ascii="Arial" w:hAnsi="Arial" w:cs="Arial"/>
          <w:sz w:val="20"/>
          <w:szCs w:val="20"/>
        </w:rPr>
      </w:pPr>
      <w:r w:rsidRPr="00764BD0">
        <w:rPr>
          <w:rFonts w:ascii="Arial" w:hAnsi="Arial"/>
          <w:sz w:val="20"/>
        </w:rPr>
        <w:t>être ressortissant d’un État membre de l’Union européenne;</w:t>
      </w:r>
    </w:p>
    <w:p w:rsidR="00925FE1" w:rsidRPr="00764BD0" w:rsidP="00925FE1">
      <w:pPr>
        <w:numPr>
          <w:ilvl w:val="0"/>
          <w:numId w:val="29"/>
        </w:numPr>
        <w:suppressAutoHyphens/>
        <w:ind w:left="284" w:hanging="284"/>
        <w:contextualSpacing/>
        <w:jc w:val="both"/>
        <w:rPr>
          <w:rFonts w:ascii="Arial" w:hAnsi="Arial" w:cs="Arial"/>
          <w:sz w:val="20"/>
          <w:szCs w:val="20"/>
        </w:rPr>
      </w:pPr>
      <w:r w:rsidRPr="00764BD0">
        <w:rPr>
          <w:rFonts w:ascii="Arial" w:hAnsi="Arial"/>
          <w:sz w:val="20"/>
        </w:rPr>
        <w:t>se trouver en position régulière au regard des lois en matière militaire;</w:t>
      </w:r>
    </w:p>
    <w:p w:rsidR="00925FE1" w:rsidRPr="00764BD0" w:rsidP="00925FE1">
      <w:pPr>
        <w:numPr>
          <w:ilvl w:val="0"/>
          <w:numId w:val="29"/>
        </w:numPr>
        <w:suppressAutoHyphens/>
        <w:ind w:left="284" w:hanging="284"/>
        <w:contextualSpacing/>
        <w:jc w:val="both"/>
        <w:rPr>
          <w:rFonts w:ascii="Arial" w:hAnsi="Arial" w:cs="Arial"/>
          <w:sz w:val="20"/>
          <w:szCs w:val="20"/>
        </w:rPr>
      </w:pPr>
      <w:r w:rsidRPr="00764BD0">
        <w:rPr>
          <w:rFonts w:ascii="Arial" w:hAnsi="Arial"/>
          <w:sz w:val="20"/>
        </w:rPr>
        <w:t>jouir de tous ses droits civi</w:t>
      </w:r>
      <w:r w:rsidRPr="00764BD0">
        <w:rPr>
          <w:rFonts w:ascii="Arial" w:hAnsi="Arial"/>
          <w:sz w:val="20"/>
        </w:rPr>
        <w:t>ques</w:t>
      </w:r>
      <w:r>
        <w:rPr>
          <w:rFonts w:ascii="Arial" w:hAnsi="Arial"/>
          <w:sz w:val="20"/>
          <w:vertAlign w:val="superscript"/>
        </w:rPr>
        <w:footnoteReference w:id="2"/>
      </w:r>
      <w:r w:rsidRPr="00764BD0">
        <w:rPr>
          <w:rFonts w:ascii="Arial" w:hAnsi="Arial"/>
          <w:sz w:val="20"/>
        </w:rPr>
        <w:t>;</w:t>
      </w:r>
    </w:p>
    <w:p w:rsidR="00925FE1" w:rsidRPr="00764BD0" w:rsidP="00925FE1">
      <w:pPr>
        <w:numPr>
          <w:ilvl w:val="0"/>
          <w:numId w:val="29"/>
        </w:numPr>
        <w:suppressAutoHyphens/>
        <w:ind w:left="284" w:hanging="284"/>
        <w:contextualSpacing/>
        <w:jc w:val="both"/>
        <w:rPr>
          <w:rFonts w:ascii="Arial" w:hAnsi="Arial" w:cs="Arial"/>
          <w:sz w:val="20"/>
          <w:szCs w:val="20"/>
        </w:rPr>
      </w:pPr>
      <w:r w:rsidRPr="00764BD0">
        <w:rPr>
          <w:rFonts w:ascii="Arial" w:hAnsi="Arial"/>
          <w:sz w:val="20"/>
        </w:rPr>
        <w:t>offrir les garanties de moralité requises pour l'exercice des fonctions inhérentes au poste;</w:t>
      </w:r>
    </w:p>
    <w:p w:rsidR="00925FE1" w:rsidRPr="00764BD0" w:rsidP="00925FE1">
      <w:pPr>
        <w:numPr>
          <w:ilvl w:val="0"/>
          <w:numId w:val="29"/>
        </w:numPr>
        <w:suppressAutoHyphens/>
        <w:ind w:left="284" w:hanging="284"/>
        <w:contextualSpacing/>
        <w:jc w:val="both"/>
        <w:rPr>
          <w:rFonts w:ascii="Arial" w:hAnsi="Arial" w:cs="Arial"/>
          <w:sz w:val="20"/>
          <w:szCs w:val="20"/>
        </w:rPr>
      </w:pPr>
      <w:r w:rsidRPr="00764BD0">
        <w:rPr>
          <w:rFonts w:ascii="Arial" w:hAnsi="Arial"/>
          <w:sz w:val="20"/>
        </w:rPr>
        <w:t>remplir les conditions d'aptitude physique requises pour l'exercice des fonctions inhérentes au poste</w:t>
      </w:r>
      <w:r>
        <w:rPr>
          <w:rFonts w:ascii="Arial" w:hAnsi="Arial"/>
          <w:sz w:val="20"/>
          <w:vertAlign w:val="superscript"/>
        </w:rPr>
        <w:footnoteReference w:id="3"/>
      </w:r>
      <w:r w:rsidRPr="00764BD0">
        <w:rPr>
          <w:rFonts w:ascii="Arial" w:hAnsi="Arial"/>
          <w:sz w:val="20"/>
        </w:rPr>
        <w:t xml:space="preserve">. </w:t>
      </w:r>
    </w:p>
    <w:p w:rsidR="00B52D76" w:rsidRPr="00764BD0" w:rsidP="00B52D76">
      <w:pPr>
        <w:keepNext/>
        <w:numPr>
          <w:ilvl w:val="0"/>
          <w:numId w:val="35"/>
        </w:numPr>
        <w:tabs>
          <w:tab w:val="num" w:pos="720"/>
        </w:tabs>
        <w:spacing w:before="240" w:after="60"/>
        <w:jc w:val="both"/>
        <w:outlineLvl w:val="1"/>
        <w:rPr>
          <w:rFonts w:ascii="Arial" w:hAnsi="Arial" w:cs="Arial"/>
          <w:b/>
          <w:color w:val="002060"/>
          <w:sz w:val="20"/>
          <w:szCs w:val="20"/>
        </w:rPr>
      </w:pPr>
      <w:r w:rsidRPr="00764BD0">
        <w:rPr>
          <w:rFonts w:ascii="Arial" w:hAnsi="Arial"/>
          <w:b/>
          <w:color w:val="002060"/>
          <w:sz w:val="20"/>
        </w:rPr>
        <w:t>INFORMATIONS SUPPLÉMENTAIRES</w:t>
      </w:r>
    </w:p>
    <w:p w:rsidR="00B52D76" w:rsidRPr="00764BD0" w:rsidP="00925FE1">
      <w:pPr>
        <w:jc w:val="both"/>
        <w:rPr>
          <w:rFonts w:ascii="Arial" w:hAnsi="Arial" w:cs="Arial"/>
          <w:b/>
          <w:iCs/>
          <w:color w:val="92D050"/>
          <w:sz w:val="20"/>
          <w:szCs w:val="20"/>
        </w:rPr>
      </w:pPr>
    </w:p>
    <w:p w:rsidR="00925FE1" w:rsidRPr="00764BD0" w:rsidP="00925FE1">
      <w:pPr>
        <w:jc w:val="both"/>
        <w:rPr>
          <w:rFonts w:ascii="Arial" w:hAnsi="Arial" w:cs="Arial"/>
          <w:sz w:val="20"/>
          <w:szCs w:val="20"/>
        </w:rPr>
      </w:pPr>
      <w:r w:rsidRPr="00764BD0">
        <w:rPr>
          <w:rFonts w:ascii="Arial" w:hAnsi="Arial"/>
          <w:sz w:val="20"/>
        </w:rPr>
        <w:t xml:space="preserve">Les candidats doivent envoyer, par courrier électronique, à la boîte aux lettres fonctionnelle </w:t>
      </w:r>
      <w:r>
        <w:fldChar w:fldCharType="begin"/>
      </w:r>
      <w:r>
        <w:instrText xml:space="preserve"> HYPERLINK "mailto:recruitmentcn267@sesarju.eu" </w:instrText>
      </w:r>
      <w:r>
        <w:fldChar w:fldCharType="separate"/>
      </w:r>
      <w:r w:rsidRPr="00764BD0">
        <w:rPr>
          <w:color w:val="0000FF"/>
          <w:sz w:val="22"/>
          <w:u w:val="single"/>
        </w:rPr>
        <w:t>recruitmentcn267</w:t>
      </w:r>
      <w:r w:rsidRPr="00764BD0">
        <w:rPr>
          <w:color w:val="0000FF"/>
          <w:sz w:val="20"/>
          <w:u w:val="single"/>
        </w:rPr>
        <w:t>@sesarju.eu</w:t>
      </w:r>
      <w:r>
        <w:fldChar w:fldCharType="end"/>
      </w:r>
      <w:r w:rsidRPr="00764BD0">
        <w:rPr>
          <w:rFonts w:ascii="Arial" w:hAnsi="Arial"/>
          <w:sz w:val="20"/>
        </w:rPr>
        <w:t xml:space="preserve">, un </w:t>
      </w:r>
      <w:r w:rsidRPr="00764BD0">
        <w:rPr>
          <w:rFonts w:ascii="Arial" w:hAnsi="Arial"/>
          <w:b/>
          <w:color w:val="FF0000"/>
          <w:sz w:val="20"/>
          <w:u w:val="single"/>
        </w:rPr>
        <w:t>SEUL fichier PDF Adobe Acrobat au format A4 (taille maximale: 5 Mo) contenant TO</w:t>
      </w:r>
      <w:r w:rsidRPr="00764BD0">
        <w:rPr>
          <w:rFonts w:ascii="Arial" w:hAnsi="Arial"/>
          <w:b/>
          <w:color w:val="FF0000"/>
          <w:sz w:val="20"/>
          <w:u w:val="single"/>
        </w:rPr>
        <w:t>US les documents numérisés suivants</w:t>
      </w:r>
      <w:r w:rsidRPr="00764BD0">
        <w:rPr>
          <w:rFonts w:ascii="Arial" w:hAnsi="Arial"/>
          <w:sz w:val="20"/>
        </w:rPr>
        <w:t>:</w:t>
      </w:r>
    </w:p>
    <w:p w:rsidR="00B52D76" w:rsidRPr="00764BD0" w:rsidP="00925FE1">
      <w:pPr>
        <w:jc w:val="both"/>
        <w:rPr>
          <w:rFonts w:ascii="Arial" w:hAnsi="Arial" w:cs="Arial"/>
          <w:sz w:val="20"/>
          <w:szCs w:val="20"/>
        </w:rPr>
      </w:pPr>
    </w:p>
    <w:p w:rsidR="00925FE1" w:rsidRPr="00764BD0" w:rsidP="00925FE1">
      <w:pPr>
        <w:numPr>
          <w:ilvl w:val="0"/>
          <w:numId w:val="29"/>
        </w:numPr>
        <w:suppressAutoHyphens/>
        <w:ind w:left="284" w:hanging="284"/>
        <w:contextualSpacing/>
        <w:jc w:val="both"/>
        <w:rPr>
          <w:rFonts w:ascii="Arial" w:hAnsi="Arial" w:cs="Arial"/>
          <w:sz w:val="20"/>
          <w:szCs w:val="20"/>
        </w:rPr>
      </w:pPr>
      <w:r w:rsidRPr="00764BD0">
        <w:rPr>
          <w:rFonts w:ascii="Arial" w:hAnsi="Arial"/>
          <w:sz w:val="20"/>
        </w:rPr>
        <w:t xml:space="preserve">un curriculum vitae (CV) au format Europass (disponible sur le site web suivant: </w:t>
      </w:r>
      <w:r>
        <w:fldChar w:fldCharType="begin"/>
      </w:r>
      <w:r>
        <w:instrText xml:space="preserve"> HYPERLINK "http://europass.cedefop.europa.eu/" </w:instrText>
      </w:r>
      <w:r>
        <w:fldChar w:fldCharType="separate"/>
      </w:r>
      <w:r w:rsidRPr="00764BD0">
        <w:rPr>
          <w:color w:val="0000FF"/>
          <w:sz w:val="20"/>
          <w:u w:val="single"/>
        </w:rPr>
        <w:t>http://</w:t>
      </w:r>
      <w:r w:rsidRPr="00764BD0">
        <w:rPr>
          <w:color w:val="0000FF"/>
          <w:sz w:val="22"/>
          <w:u w:val="single"/>
        </w:rPr>
        <w:t>europass</w:t>
      </w:r>
      <w:r w:rsidRPr="00764BD0">
        <w:rPr>
          <w:color w:val="0000FF"/>
          <w:sz w:val="20"/>
          <w:u w:val="single"/>
        </w:rPr>
        <w:t>.cedefop.</w:t>
      </w:r>
      <w:r w:rsidRPr="00764BD0">
        <w:rPr>
          <w:color w:val="0000FF"/>
          <w:sz w:val="22"/>
          <w:u w:val="single"/>
        </w:rPr>
        <w:t>europa</w:t>
      </w:r>
      <w:r w:rsidRPr="00764BD0">
        <w:rPr>
          <w:color w:val="0000FF"/>
          <w:sz w:val="20"/>
          <w:u w:val="single"/>
        </w:rPr>
        <w:t>.eu</w:t>
      </w:r>
      <w:r>
        <w:fldChar w:fldCharType="end"/>
      </w:r>
      <w:r w:rsidRPr="00764BD0">
        <w:rPr>
          <w:rFonts w:ascii="Arial" w:hAnsi="Arial"/>
          <w:sz w:val="20"/>
        </w:rPr>
        <w:t>);</w:t>
      </w:r>
    </w:p>
    <w:p w:rsidR="00925FE1" w:rsidRPr="00764BD0" w:rsidP="00925FE1">
      <w:pPr>
        <w:numPr>
          <w:ilvl w:val="0"/>
          <w:numId w:val="29"/>
        </w:numPr>
        <w:suppressAutoHyphens/>
        <w:ind w:left="284" w:hanging="284"/>
        <w:contextualSpacing/>
        <w:jc w:val="both"/>
        <w:rPr>
          <w:rFonts w:ascii="Arial" w:hAnsi="Arial" w:cs="Arial"/>
          <w:sz w:val="20"/>
          <w:szCs w:val="20"/>
        </w:rPr>
      </w:pPr>
      <w:r w:rsidRPr="00764BD0">
        <w:rPr>
          <w:rFonts w:ascii="Arial" w:hAnsi="Arial"/>
          <w:sz w:val="20"/>
        </w:rPr>
        <w:t>une lettre de motivation signée n’excédant pas une p</w:t>
      </w:r>
      <w:r w:rsidRPr="00764BD0">
        <w:rPr>
          <w:rFonts w:ascii="Arial" w:hAnsi="Arial"/>
          <w:sz w:val="20"/>
        </w:rPr>
        <w:t>age, expliquant pourquoi le candidat est intéressé par le poste et quelle serait sa valeur ajoutée pour l'entreprise commune si sa candidature était retenue;</w:t>
      </w:r>
    </w:p>
    <w:p w:rsidR="00925FE1" w:rsidRPr="00764BD0" w:rsidP="00925FE1">
      <w:pPr>
        <w:numPr>
          <w:ilvl w:val="0"/>
          <w:numId w:val="29"/>
        </w:numPr>
        <w:suppressAutoHyphens/>
        <w:ind w:left="284" w:hanging="284"/>
        <w:contextualSpacing/>
        <w:jc w:val="both"/>
        <w:rPr>
          <w:rFonts w:ascii="Arial" w:hAnsi="Arial" w:cs="Arial"/>
          <w:sz w:val="20"/>
          <w:szCs w:val="20"/>
        </w:rPr>
      </w:pPr>
      <w:r w:rsidRPr="00764BD0">
        <w:rPr>
          <w:rFonts w:ascii="Arial" w:hAnsi="Arial"/>
          <w:sz w:val="20"/>
        </w:rPr>
        <w:t>une déclaration sur l'honneur dûment complétée et signée concernant les critères d'admissibilité e</w:t>
      </w:r>
      <w:r w:rsidRPr="00764BD0">
        <w:rPr>
          <w:rFonts w:ascii="Arial" w:hAnsi="Arial"/>
          <w:sz w:val="20"/>
        </w:rPr>
        <w:t>t de sélection (disponible au téléchargement sur notre site web).</w:t>
      </w:r>
    </w:p>
    <w:p w:rsidR="00925FE1" w:rsidRPr="00764BD0" w:rsidP="00925FE1">
      <w:pPr>
        <w:jc w:val="both"/>
        <w:rPr>
          <w:rFonts w:ascii="Arial" w:hAnsi="Arial" w:cs="Arial"/>
          <w:sz w:val="20"/>
          <w:szCs w:val="20"/>
        </w:rPr>
      </w:pPr>
    </w:p>
    <w:p w:rsidR="00925FE1" w:rsidRPr="00764BD0" w:rsidP="00925FE1">
      <w:pPr>
        <w:jc w:val="both"/>
        <w:rPr>
          <w:rFonts w:ascii="Arial" w:hAnsi="Arial" w:cs="Arial"/>
          <w:b/>
          <w:i/>
          <w:sz w:val="20"/>
          <w:szCs w:val="20"/>
          <w:u w:val="single"/>
        </w:rPr>
      </w:pPr>
      <w:r w:rsidRPr="00764BD0">
        <w:rPr>
          <w:rFonts w:ascii="Arial" w:hAnsi="Arial"/>
          <w:b/>
          <w:i/>
          <w:sz w:val="20"/>
          <w:u w:val="single"/>
        </w:rPr>
        <w:t>Le dossier de candidature unique (fichier PDF Adobe Acrobat au format A4) doit être intitulé comme suit:</w:t>
      </w:r>
      <w:r>
        <w:rPr>
          <w:rFonts w:ascii="Arial" w:hAnsi="Arial"/>
          <w:b/>
          <w:i/>
          <w:sz w:val="20"/>
          <w:u w:val="single"/>
        </w:rPr>
        <w:t xml:space="preserve"> </w:t>
      </w:r>
      <w:r w:rsidRPr="00764BD0">
        <w:rPr>
          <w:rFonts w:ascii="Arial" w:hAnsi="Arial"/>
          <w:b/>
          <w:i/>
          <w:sz w:val="20"/>
        </w:rPr>
        <w:t>[NOM DE FAMILLE_Prénom_CN267.pdf]</w:t>
      </w:r>
      <w:r w:rsidRPr="00764BD0">
        <w:rPr>
          <w:rFonts w:ascii="Arial" w:hAnsi="Arial"/>
          <w:b/>
          <w:i/>
          <w:sz w:val="20"/>
          <w:u w:val="single"/>
        </w:rPr>
        <w:t>.</w:t>
      </w:r>
    </w:p>
    <w:p w:rsidR="00925FE1" w:rsidRPr="00764BD0" w:rsidP="00925FE1">
      <w:pPr>
        <w:jc w:val="both"/>
        <w:rPr>
          <w:rFonts w:ascii="Arial" w:hAnsi="Arial" w:cs="Arial"/>
          <w:sz w:val="20"/>
          <w:szCs w:val="20"/>
        </w:rPr>
      </w:pPr>
    </w:p>
    <w:p w:rsidR="00925FE1" w:rsidRPr="00764BD0" w:rsidP="00925FE1">
      <w:pPr>
        <w:jc w:val="both"/>
        <w:rPr>
          <w:rFonts w:ascii="Arial" w:hAnsi="Arial" w:cs="Arial"/>
          <w:sz w:val="20"/>
          <w:szCs w:val="20"/>
        </w:rPr>
      </w:pPr>
      <w:r w:rsidRPr="00764BD0">
        <w:rPr>
          <w:rFonts w:ascii="Arial" w:hAnsi="Arial"/>
          <w:sz w:val="20"/>
        </w:rPr>
        <w:t>L'intitulé et la référence exacte de l'avis de vacance doivent être indiqués en objet du courrier électronique. Les candidatures pour lesquelles le format et/ou le contenu du CV Europass et la déclaration sur l'honneur ont été modifiés pourront être consid</w:t>
      </w:r>
      <w:r w:rsidRPr="00764BD0">
        <w:rPr>
          <w:rFonts w:ascii="Arial" w:hAnsi="Arial"/>
          <w:sz w:val="20"/>
        </w:rPr>
        <w:t>érées comme nulles par l'entreprise commune.</w:t>
      </w:r>
    </w:p>
    <w:p w:rsidR="00925FE1" w:rsidRPr="00764BD0" w:rsidP="00925FE1">
      <w:pPr>
        <w:jc w:val="both"/>
        <w:rPr>
          <w:rFonts w:ascii="Arial" w:hAnsi="Arial" w:cs="Arial"/>
          <w:sz w:val="20"/>
          <w:szCs w:val="20"/>
        </w:rPr>
      </w:pPr>
    </w:p>
    <w:p w:rsidR="00925FE1" w:rsidRPr="00764BD0" w:rsidP="00293508">
      <w:pPr>
        <w:jc w:val="both"/>
        <w:rPr>
          <w:rFonts w:ascii="Arial" w:hAnsi="Arial" w:cs="Arial"/>
          <w:b/>
          <w:color w:val="FF0000"/>
          <w:sz w:val="20"/>
          <w:szCs w:val="20"/>
          <w:u w:val="single"/>
        </w:rPr>
      </w:pPr>
      <w:r w:rsidRPr="00764BD0">
        <w:rPr>
          <w:rFonts w:ascii="Arial" w:hAnsi="Arial"/>
          <w:b/>
          <w:color w:val="FF0000"/>
          <w:sz w:val="20"/>
          <w:u w:val="single"/>
        </w:rPr>
        <w:t>La date limite de dépôt des candidatures est fixée au 31 mars 2017 à 23 heures (heure de Bruxelles).</w:t>
      </w:r>
    </w:p>
    <w:p w:rsidR="00F006D8" w:rsidRPr="00764BD0" w:rsidP="00B52D76">
      <w:pPr>
        <w:autoSpaceDE w:val="0"/>
        <w:autoSpaceDN w:val="0"/>
        <w:adjustRightInd w:val="0"/>
        <w:ind w:right="-180"/>
        <w:rPr>
          <w:rFonts w:ascii="Arial" w:hAnsi="Arial" w:cs="Arial"/>
          <w:color w:val="000000"/>
          <w:sz w:val="20"/>
          <w:szCs w:val="20"/>
        </w:rPr>
      </w:pPr>
      <w:r w:rsidRPr="00764BD0">
        <w:rPr>
          <w:noProof/>
          <w:lang w:val="fr-LU" w:eastAsia="fr-LU" w:bidi="ar-SA"/>
        </w:rPr>
        <mc:AlternateContent>
          <mc:Choice Requires="wps">
            <w:drawing>
              <wp:anchor distT="0" distB="0" distL="114300" distR="114300" simplePos="0" relativeHeight="251662336"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2" name="AutoShap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APPROBATION EN VUE DE LA PUBLICATION</w:t>
                            </w:r>
                          </w:p>
                          <w:p w:rsidR="00925FE1" w:rsidP="00925FE1">
                            <w:pPr>
                              <w:jc w:val="center"/>
                              <w:rPr>
                                <w:i/>
                                <w:iCs/>
                              </w:rPr>
                            </w:pPr>
                            <w:r>
                              <w:rPr>
                                <w:i/>
                              </w:rPr>
                              <w:t>P. Ky, directeur exécutif</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5"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o:allowincell="f" adj="1739" fillcolor="#943634" strokecolor="#9bbb59" strokeweight="3pt">
                <v:shadow color="#5d7035" offset="1pt,1pt"/>
                <v:textbox inset="3.6pt,,3.6pt">
                  <w:txbxContent>
                    <w:p w:rsidR="00925FE1" w:rsidP="00925FE1">
                      <w:pPr>
                        <w:jc w:val="center"/>
                        <w:rPr>
                          <w:i/>
                          <w:iCs/>
                        </w:rPr>
                      </w:pPr>
                      <w:r>
                        <w:rPr>
                          <w:i/>
                        </w:rPr>
                        <w:t>APPROBATION EN VUE DE LA PUBLICATION</w:t>
                      </w:r>
                    </w:p>
                    <w:p w:rsidR="00925FE1" w:rsidP="00925FE1">
                      <w:pPr>
                        <w:jc w:val="center"/>
                        <w:rPr>
                          <w:i/>
                          <w:iCs/>
                        </w:rPr>
                      </w:pPr>
                      <w:r>
                        <w:rPr>
                          <w:i/>
                        </w:rPr>
                        <w:t>P. Ky, directeur exécutif</w:t>
                      </w:r>
                    </w:p>
                    <w:p w:rsidR="00925FE1" w:rsidP="00925FE1">
                      <w:pPr>
                        <w:jc w:val="center"/>
                        <w:rPr>
                          <w:i/>
                          <w:iCs/>
                          <w:color w:val="7F7F7F"/>
                        </w:rPr>
                      </w:pPr>
                    </w:p>
                  </w:txbxContent>
                </v:textbox>
                <w10:wrap type="square"/>
              </v:shape>
            </w:pict>
          </mc:Fallback>
        </mc:AlternateContent>
      </w:r>
      <w:r w:rsidRPr="00764BD0">
        <w:rPr>
          <w:noProof/>
          <w:lang w:val="fr-LU" w:eastAsia="fr-LU" w:bidi="ar-SA"/>
        </w:rPr>
        <mc:AlternateContent>
          <mc:Choice Requires="wps">
            <w:drawing>
              <wp:anchor distT="0" distB="0" distL="114300" distR="114300" simplePos="0" relativeHeight="251660288"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APPROBATION EN VUE DE LA PUBLICATION</w:t>
                            </w:r>
                          </w:p>
                          <w:p w:rsidR="00925FE1" w:rsidP="00925FE1">
                            <w:pPr>
                              <w:jc w:val="center"/>
                              <w:rPr>
                                <w:i/>
                                <w:iCs/>
                              </w:rPr>
                            </w:pPr>
                            <w:r>
                              <w:rPr>
                                <w:i/>
                              </w:rPr>
                              <w:t>P. Ky, directeur exécutif</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 id="AutoShape 2" o:spid="_x0000_s1026"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o:allowincell="f" adj="1739" fillcolor="#943634" strokecolor="#9bbb59" strokeweight="3pt">
                <v:shadow color="#5d7035" offset="1pt,1pt"/>
                <v:textbox inset="3.6pt,,3.6pt">
                  <w:txbxContent>
                    <w:p w:rsidR="00925FE1" w:rsidP="00925FE1">
                      <w:pPr>
                        <w:jc w:val="center"/>
                        <w:rPr>
                          <w:i/>
                          <w:iCs/>
                        </w:rPr>
                      </w:pPr>
                      <w:r>
                        <w:rPr>
                          <w:i/>
                        </w:rPr>
                        <w:t>APPROBATION EN VUE DE LA PUBLICATION</w:t>
                      </w:r>
                    </w:p>
                    <w:p w:rsidR="00925FE1" w:rsidP="00925FE1">
                      <w:pPr>
                        <w:jc w:val="center"/>
                        <w:rPr>
                          <w:i/>
                          <w:iCs/>
                        </w:rPr>
                      </w:pPr>
                      <w:r>
                        <w:rPr>
                          <w:i/>
                        </w:rPr>
                        <w:t>P. Ky, directeur exécutif</w:t>
                      </w:r>
                    </w:p>
                    <w:p w:rsidR="00925FE1" w:rsidP="00925FE1">
                      <w:pPr>
                        <w:jc w:val="center"/>
                        <w:rPr>
                          <w:i/>
                          <w:iCs/>
                          <w:color w:val="7F7F7F"/>
                        </w:rPr>
                      </w:pPr>
                    </w:p>
                  </w:txbxContent>
                </v:textbox>
                <w10:wrap type="square"/>
              </v:shape>
            </w:pict>
          </mc:Fallback>
        </mc:AlternateContent>
      </w:r>
    </w:p>
    <w:p w:rsidR="00F006D8" w:rsidRPr="00764BD0" w:rsidP="00F006D8">
      <w:pPr>
        <w:jc w:val="both"/>
        <w:rPr>
          <w:rFonts w:ascii="Arial" w:hAnsi="Arial" w:cs="Arial"/>
          <w:sz w:val="20"/>
          <w:szCs w:val="20"/>
        </w:rPr>
      </w:pPr>
      <w:r w:rsidRPr="00764BD0">
        <w:rPr>
          <w:rFonts w:ascii="Arial" w:hAnsi="Arial"/>
          <w:sz w:val="20"/>
        </w:rPr>
        <w:t>D’autres exigences, la description complète de la fonction ainsi que des informations supplémentaires sur le processus de sélection, d’entretien et de test, et sur les conditions de travail, figurent dans l’avis de vacance compl</w:t>
      </w:r>
      <w:r w:rsidRPr="00764BD0">
        <w:rPr>
          <w:rFonts w:ascii="Arial" w:hAnsi="Arial"/>
          <w:sz w:val="20"/>
        </w:rPr>
        <w:t xml:space="preserve">et qui peut être téléchargé à partir de la page web de l'entreprise commune consacrée aux opportunités de carrière: </w:t>
      </w:r>
      <w:r>
        <w:fldChar w:fldCharType="begin"/>
      </w:r>
      <w:r>
        <w:instrText xml:space="preserve"> HYPERLINK "http://www.sesarju.eu/sesar-vacancies" </w:instrText>
      </w:r>
      <w:r>
        <w:fldChar w:fldCharType="separate"/>
      </w:r>
      <w:r w:rsidRPr="00764BD0">
        <w:rPr>
          <w:color w:val="0000FF"/>
          <w:sz w:val="22"/>
          <w:u w:val="single"/>
        </w:rPr>
        <w:t>http://www.sesarju.eu/sesar-vacancies</w:t>
      </w:r>
      <w:r>
        <w:fldChar w:fldCharType="end"/>
      </w:r>
      <w:r w:rsidRPr="00764BD0">
        <w:rPr>
          <w:rFonts w:ascii="Arial" w:hAnsi="Arial"/>
          <w:sz w:val="20"/>
        </w:rPr>
        <w:t xml:space="preserve">. </w:t>
      </w:r>
    </w:p>
    <w:p w:rsidR="00B52D76" w:rsidRPr="00764BD0" w:rsidP="00F006D8">
      <w:pPr>
        <w:jc w:val="both"/>
        <w:rPr>
          <w:rFonts w:ascii="Arial" w:hAnsi="Arial" w:cs="Arial"/>
          <w:sz w:val="22"/>
          <w:szCs w:val="22"/>
        </w:rPr>
      </w:pPr>
    </w:p>
    <w:p w:rsidR="00B52D76" w:rsidRPr="00764BD0" w:rsidP="00B52D76">
      <w:pPr>
        <w:jc w:val="both"/>
        <w:rPr>
          <w:rFonts w:ascii="Arial" w:hAnsi="Arial" w:cs="Arial"/>
          <w:sz w:val="20"/>
          <w:szCs w:val="20"/>
        </w:rPr>
      </w:pPr>
      <w:r w:rsidRPr="00764BD0">
        <w:rPr>
          <w:rFonts w:ascii="Arial" w:hAnsi="Arial"/>
          <w:sz w:val="20"/>
        </w:rPr>
        <w:t xml:space="preserve">L'entretien sera organisé au lieu d'affectation, à Bruxelles (Belgique), où se trouve le siège de l'entreprise commune SESAR. </w:t>
      </w:r>
      <w:r w:rsidRPr="00764BD0">
        <w:rPr>
          <w:rFonts w:ascii="Arial" w:hAnsi="Arial"/>
          <w:sz w:val="20"/>
          <w:u w:val="single"/>
        </w:rPr>
        <w:t xml:space="preserve">La date des tests et/ou des entretiens a été provisoirement fixée au cours de la </w:t>
      </w:r>
      <w:r w:rsidRPr="00764BD0">
        <w:rPr>
          <w:rFonts w:ascii="Arial" w:hAnsi="Arial"/>
          <w:b/>
          <w:sz w:val="20"/>
          <w:u w:val="single"/>
        </w:rPr>
        <w:t>seconde moitié du mois d'avril 2017</w:t>
      </w:r>
      <w:r w:rsidRPr="00764BD0">
        <w:rPr>
          <w:rFonts w:ascii="Arial" w:hAnsi="Arial"/>
          <w:sz w:val="20"/>
        </w:rPr>
        <w:t xml:space="preserve"> (jusqu'à nouv</w:t>
      </w:r>
      <w:r w:rsidRPr="00764BD0">
        <w:rPr>
          <w:rFonts w:ascii="Arial" w:hAnsi="Arial"/>
          <w:sz w:val="20"/>
        </w:rPr>
        <w:t>el ordre et en fonction du nombre de candidats). Les candidats seront informés de la date au moins 15 jours avant.</w:t>
      </w:r>
    </w:p>
    <w:p w:rsidR="00B52D76" w:rsidRPr="00764BD0" w:rsidP="00B52D76">
      <w:pPr>
        <w:jc w:val="both"/>
        <w:rPr>
          <w:rFonts w:ascii="Arial" w:hAnsi="Arial" w:cs="Arial"/>
          <w:sz w:val="20"/>
          <w:szCs w:val="20"/>
        </w:rPr>
      </w:pPr>
    </w:p>
    <w:p w:rsidR="00B52D76" w:rsidRPr="00764BD0" w:rsidP="00B52D76">
      <w:pPr>
        <w:autoSpaceDE w:val="0"/>
        <w:autoSpaceDN w:val="0"/>
        <w:adjustRightInd w:val="0"/>
        <w:jc w:val="both"/>
        <w:rPr>
          <w:rFonts w:ascii="Arial" w:hAnsi="Arial" w:cs="Arial"/>
          <w:sz w:val="20"/>
          <w:szCs w:val="20"/>
        </w:rPr>
      </w:pPr>
      <w:r w:rsidRPr="00764BD0">
        <w:rPr>
          <w:rFonts w:ascii="Arial" w:hAnsi="Arial"/>
          <w:sz w:val="20"/>
        </w:rPr>
        <w:t xml:space="preserve">À l'issue des entretiens, le jury formulera une recommandation quant aux candidats dont le profil correspond le mieux au poste en question. </w:t>
      </w:r>
      <w:r w:rsidRPr="00764BD0">
        <w:rPr>
          <w:rFonts w:ascii="Arial" w:hAnsi="Arial"/>
          <w:sz w:val="20"/>
        </w:rPr>
        <w:t>La liste des candidats établie par le jury pourra également être utilisée en vue d'un recrutement à un poste similaire, en fonction des besoins de l'entreprise commune, et sera valide jusqu'au 31 décembre 2017 (la durée de validité pourra être prorogée). C</w:t>
      </w:r>
      <w:r w:rsidRPr="00764BD0">
        <w:rPr>
          <w:rFonts w:ascii="Arial" w:hAnsi="Arial"/>
          <w:sz w:val="20"/>
        </w:rPr>
        <w:t>haque candidat sera informé par courrier de son inscription ou non sur la liste de réserve. Les candidats noteront que le fait de figurer sur une liste de réserve ne constitue pas une garantie de recrutement.</w:t>
      </w:r>
    </w:p>
    <w:p w:rsidR="00F006D8" w:rsidRPr="00764BD0" w:rsidP="00F006D8">
      <w:pPr>
        <w:jc w:val="both"/>
        <w:rPr>
          <w:rFonts w:ascii="Arial" w:hAnsi="Arial" w:cs="Arial"/>
          <w:sz w:val="22"/>
          <w:szCs w:val="22"/>
        </w:rPr>
      </w:pPr>
    </w:p>
    <w:p w:rsidR="00F006D8" w:rsidRPr="00764BD0" w:rsidP="00F006D8">
      <w:pPr>
        <w:jc w:val="both"/>
        <w:rPr>
          <w:rFonts w:ascii="Arial" w:hAnsi="Arial" w:cs="Arial"/>
          <w:b/>
          <w:color w:val="FF0000"/>
          <w:sz w:val="20"/>
          <w:szCs w:val="22"/>
        </w:rPr>
      </w:pPr>
    </w:p>
    <w:p w:rsidR="008543F3" w:rsidRPr="00764BD0" w:rsidP="00925FE1">
      <w:bookmarkEnd w:id="0"/>
    </w:p>
    <w:sectPr w:rsidSect="0052042D">
      <w:headerReference w:type="default" r:id="rId8"/>
      <w:footerReference w:type="default" r:id="rId9"/>
      <w:pgSz w:w="11907" w:h="16839" w:code="9"/>
      <w:pgMar w:top="993" w:right="141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EC1F52" w:rsidP="00864172">
    <w:pPr>
      <w:pStyle w:val="Footer"/>
      <w:tabs>
        <w:tab w:val="center" w:pos="4394"/>
        <w:tab w:val="clear" w:pos="4680"/>
        <w:tab w:val="clear" w:pos="9360"/>
      </w:tabs>
      <w:rPr>
        <w:rFonts w:ascii="Arial" w:hAnsi="Arial" w:cs="Arial"/>
        <w:vertAlign w:val="superscript"/>
      </w:rPr>
    </w:pPr>
    <w:r>
      <w:tab/>
    </w:r>
    <w:r>
      <w:rPr>
        <w:rFonts w:ascii="Arial" w:hAnsi="Arial"/>
        <w:vertAlign w:val="superscript"/>
      </w:rPr>
      <w:t xml:space="preserve"> </w:t>
    </w:r>
    <w:r>
      <w:tab/>
    </w:r>
    <w:r>
      <w:rPr>
        <w:rFonts w:ascii="Arial" w:hAnsi="Arial"/>
        <w:sz w:val="20"/>
        <w:vertAlign w:val="superscript"/>
      </w:rPr>
      <w:t>SJU/2017/CN267/FGIV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9E8" w:rsidP="00C37C6F">
      <w:r>
        <w:separator/>
      </w:r>
    </w:p>
  </w:footnote>
  <w:footnote w:type="continuationSeparator" w:id="1">
    <w:p w:rsidR="007159E8" w:rsidP="00C37C6F">
      <w:r>
        <w:continuationSeparator/>
      </w:r>
    </w:p>
  </w:footnote>
  <w:footnote w:id="2">
    <w:p w:rsidR="00925FE1" w:rsidP="00925FE1">
      <w:pPr>
        <w:autoSpaceDE w:val="0"/>
        <w:autoSpaceDN w:val="0"/>
        <w:adjustRightInd w:val="0"/>
        <w:rPr>
          <w:rStyle w:val="FootnoteReference"/>
          <w:sz w:val="20"/>
          <w:szCs w:val="20"/>
        </w:rPr>
      </w:pPr>
      <w:r>
        <w:rPr>
          <w:rStyle w:val="FootnoteReference"/>
          <w:rFonts w:ascii="Arial" w:hAnsi="Arial"/>
          <w:sz w:val="20"/>
        </w:rPr>
        <w:footnoteRef/>
      </w:r>
      <w:r>
        <w:rPr>
          <w:rStyle w:val="FootnoteReference"/>
          <w:rFonts w:ascii="Arial" w:hAnsi="Arial"/>
          <w:sz w:val="20"/>
        </w:rPr>
        <w:t xml:space="preserve"> Avant toute nomination, le candidat retenu sera invité à fournir un extrait de casier judiciaire confirmant l'absence de condamnation pénale.</w:t>
      </w:r>
    </w:p>
  </w:footnote>
  <w:footnote w:id="3">
    <w:p w:rsidR="00925FE1" w:rsidP="00925FE1">
      <w:pPr>
        <w:autoSpaceDE w:val="0"/>
        <w:autoSpaceDN w:val="0"/>
        <w:adjustRightInd w:val="0"/>
        <w:rPr>
          <w:rStyle w:val="FootnoteReference"/>
          <w:rFonts w:ascii="Arial" w:hAnsi="Arial" w:cs="Arial"/>
          <w:sz w:val="20"/>
          <w:szCs w:val="20"/>
        </w:rPr>
      </w:pPr>
      <w:r>
        <w:rPr>
          <w:rStyle w:val="FootnoteReference"/>
          <w:rFonts w:ascii="Arial" w:hAnsi="Arial"/>
          <w:sz w:val="20"/>
        </w:rPr>
        <w:footnoteRef/>
      </w:r>
      <w:r>
        <w:rPr>
          <w:rStyle w:val="FootnoteReference"/>
          <w:rFonts w:ascii="Arial" w:hAnsi="Arial"/>
          <w:sz w:val="20"/>
        </w:rPr>
        <w:t xml:space="preserve"> Avant d'être recruté,</w:t>
      </w:r>
      <w:r>
        <w:rPr>
          <w:rStyle w:val="FootnoteReference"/>
          <w:rFonts w:ascii="Arial" w:hAnsi="Arial"/>
          <w:sz w:val="20"/>
        </w:rPr>
        <w:t xml:space="preserve"> le candidat retenu sera soumis à un examen médical afin de permettre à l'entreprise commune de s'assurer qu'il répond aux exigences de l'article 12, paragraphe 2, point d), du régime applicable aux autres agents de l'Union européenne.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B5325A">
    <w:pPr>
      <w:pStyle w:val="Header"/>
      <w:pBdr>
        <w:bottom w:val="single" w:sz="4" w:space="1" w:color="D9D9D9"/>
      </w:pBdr>
      <w:jc w:val="right"/>
      <w:rPr>
        <w:b/>
        <w:sz w:val="18"/>
        <w:szCs w:val="18"/>
      </w:rPr>
    </w:pPr>
    <w:r>
      <w:rPr>
        <w:color w:val="7F7F7F"/>
        <w:spacing w:val="60"/>
        <w:sz w:val="18"/>
      </w:rPr>
      <w:t>Page</w:t>
    </w:r>
    <w:r>
      <w:rPr>
        <w:sz w:val="18"/>
      </w:rPr>
      <w:t xml:space="preserve"> | </w:t>
    </w:r>
    <w:r w:rsidRPr="00B5325A">
      <w:rPr>
        <w:sz w:val="18"/>
        <w:szCs w:val="18"/>
      </w:rPr>
      <w:fldChar w:fldCharType="begin"/>
    </w:r>
    <w:r w:rsidRPr="00B5325A">
      <w:rPr>
        <w:sz w:val="18"/>
        <w:szCs w:val="18"/>
      </w:rPr>
      <w:instrText xml:space="preserve"> PAGE   \* MERGEFORMAT </w:instrText>
    </w:r>
    <w:r w:rsidRPr="00B5325A">
      <w:rPr>
        <w:sz w:val="18"/>
        <w:szCs w:val="18"/>
      </w:rPr>
      <w:fldChar w:fldCharType="separate"/>
    </w:r>
    <w:r w:rsidRPr="00764BD0">
      <w:rPr>
        <w:b/>
        <w:noProof/>
        <w:sz w:val="18"/>
        <w:szCs w:val="18"/>
      </w:rPr>
      <w:t>1</w:t>
    </w:r>
    <w:r w:rsidRPr="00B5325A">
      <w:rPr>
        <w:sz w:val="18"/>
        <w:szCs w:val="18"/>
      </w:rPr>
      <w:fldChar w:fldCharType="end"/>
    </w:r>
  </w:p>
  <w:p w:rsidR="00F5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E2B2BAF"/>
    <w:multiLevelType w:val="hybridMultilevel"/>
    <w:tmpl w:val="2328F6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0B15C83"/>
    <w:multiLevelType w:val="multilevel"/>
    <w:tmpl w:val="D102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A73EE"/>
    <w:multiLevelType w:val="hybridMultilevel"/>
    <w:tmpl w:val="E71218E4"/>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6BA7593"/>
    <w:multiLevelType w:val="multilevel"/>
    <w:tmpl w:val="9EB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B625A"/>
    <w:multiLevelType w:val="multilevel"/>
    <w:tmpl w:val="B680F1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014E15"/>
    <w:multiLevelType w:val="hybridMultilevel"/>
    <w:tmpl w:val="80D29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4C08D0"/>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8">
    <w:nsid w:val="2E244FA2"/>
    <w:multiLevelType w:val="multilevel"/>
    <w:tmpl w:val="84A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75255"/>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0">
    <w:nsid w:val="31097236"/>
    <w:multiLevelType w:val="hybridMultilevel"/>
    <w:tmpl w:val="263AE4F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CA7784"/>
    <w:multiLevelType w:val="hybridMultilevel"/>
    <w:tmpl w:val="28FEDE9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nsid w:val="3FEA3D71"/>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3">
    <w:nsid w:val="400D7878"/>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4">
    <w:nsid w:val="4C077057"/>
    <w:multiLevelType w:val="hybridMultilevel"/>
    <w:tmpl w:val="0C124D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F22A26"/>
    <w:multiLevelType w:val="hybridMultilevel"/>
    <w:tmpl w:val="82902E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CE360F"/>
    <w:multiLevelType w:val="hybridMultilevel"/>
    <w:tmpl w:val="39A0FF68"/>
    <w:lvl w:ilvl="0">
      <w:start w:va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722057"/>
    <w:multiLevelType w:val="hybridMultilevel"/>
    <w:tmpl w:val="6D6E95D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7B87445"/>
    <w:multiLevelType w:val="hybridMultilevel"/>
    <w:tmpl w:val="EF98354C"/>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9">
    <w:nsid w:val="58D07474"/>
    <w:multiLevelType w:val="hybridMultilevel"/>
    <w:tmpl w:val="67B05D56"/>
    <w:lvl w:ilvl="0">
      <w:start w:val="1"/>
      <w:numFmt w:val="decimal"/>
      <w:lvlText w:val="%1."/>
      <w:lvlJc w:val="left"/>
      <w:pPr>
        <w:ind w:left="720" w:hanging="360"/>
      </w:pPr>
      <w:rPr>
        <w:rFonts w:hint="default"/>
        <w:b w:val="0"/>
        <w:color w:val="4F81B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E356E2"/>
    <w:multiLevelType w:val="hybridMultilevel"/>
    <w:tmpl w:val="249A3B3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5EFC22F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1D5AC6"/>
    <w:multiLevelType w:val="hybridMultilevel"/>
    <w:tmpl w:val="5DA054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6780622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2520A9"/>
    <w:multiLevelType w:val="hybridMultilevel"/>
    <w:tmpl w:val="78F24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8263548"/>
    <w:multiLevelType w:val="multilevel"/>
    <w:tmpl w:val="85964B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275A88"/>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B5323C"/>
    <w:multiLevelType w:val="hybridMultilevel"/>
    <w:tmpl w:val="CA800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73196D"/>
    <w:multiLevelType w:val="hybridMultilevel"/>
    <w:tmpl w:val="7D465D5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5F5895"/>
    <w:multiLevelType w:val="multilevel"/>
    <w:tmpl w:val="31807A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1"/>
  </w:num>
  <w:num w:numId="2">
    <w:abstractNumId w:val="22"/>
  </w:num>
  <w:num w:numId="3">
    <w:abstractNumId w:val="15"/>
  </w:num>
  <w:num w:numId="4">
    <w:abstractNumId w:val="18"/>
  </w:num>
  <w:num w:numId="5">
    <w:abstractNumId w:val="14"/>
  </w:num>
  <w:num w:numId="6">
    <w:abstractNumId w:val="28"/>
  </w:num>
  <w:num w:numId="7">
    <w:abstractNumId w:val="24"/>
  </w:num>
  <w:num w:numId="8">
    <w:abstractNumId w:val="1"/>
  </w:num>
  <w:num w:numId="9">
    <w:abstractNumId w:val="30"/>
  </w:num>
  <w:num w:numId="10">
    <w:abstractNumId w:val="5"/>
  </w:num>
  <w:num w:numId="11">
    <w:abstractNumId w:val="3"/>
  </w:num>
  <w:num w:numId="12">
    <w:abstractNumId w:val="20"/>
  </w:num>
  <w:num w:numId="13">
    <w:abstractNumId w:val="29"/>
  </w:num>
  <w:num w:numId="14">
    <w:abstractNumId w:val="17"/>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
    <w:lvlOverride w:ilvl="0">
      <w:lvl w:ilvl="0">
        <w:start w:val="0"/>
        <w:numFmt w:val="bullet"/>
        <w:lvlText w:val=""/>
        <w:lvlJc w:val="left"/>
        <w:pPr>
          <w:tabs>
            <w:tab w:val="num" w:pos="720"/>
          </w:tabs>
          <w:ind w:left="720" w:hanging="360"/>
        </w:pPr>
        <w:rPr>
          <w:rFonts w:ascii="Wingdings" w:hAnsi="Wingdings" w:hint="default"/>
          <w:sz w:val="20"/>
        </w:rPr>
      </w:lvl>
    </w:lvlOverride>
  </w:num>
  <w:num w:numId="21">
    <w:abstractNumId w:val="27"/>
  </w:num>
  <w:num w:numId="22">
    <w:abstractNumId w:val="11"/>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10"/>
  </w:num>
  <w:num w:numId="29">
    <w:abstractNumId w:val="27"/>
  </w:num>
  <w:num w:numId="30">
    <w:abstractNumId w:val="9"/>
  </w:num>
  <w:num w:numId="31">
    <w:abstractNumId w:val="0"/>
  </w:num>
  <w:num w:numId="32">
    <w:abstractNumId w:val="19"/>
  </w:num>
  <w:num w:numId="33">
    <w:abstractNumId w:val="10"/>
  </w:num>
  <w:num w:numId="34">
    <w:abstractNumId w:val="26"/>
  </w:num>
  <w:num w:numId="35">
    <w:abstractNumId w:val="23"/>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r-L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312CA"/>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fr-FR" w:eastAsia="fr-FR"/>
    </w:rPr>
  </w:style>
  <w:style w:type="paragraph" w:styleId="ListParagraph">
    <w:name w:val="List Paragraph"/>
    <w:aliases w:val="Para 0,Paragrafo elenco1,Párrafo de lista1"/>
    <w:basedOn w:val="Normal"/>
    <w:uiPriority w:val="34"/>
    <w:qFormat/>
    <w:rsid w:val="00675827"/>
    <w:pPr>
      <w:suppressAutoHyphens/>
      <w:ind w:left="720"/>
      <w:contextualSpacing/>
    </w:pPr>
  </w:style>
  <w:style w:type="paragraph" w:customStyle="1" w:styleId="Text1">
    <w:name w:val="Text 1"/>
    <w:basedOn w:val="Normal"/>
    <w:uiPriority w:val="99"/>
    <w:rsid w:val="00235859"/>
    <w:pPr>
      <w:spacing w:before="120" w:after="120"/>
      <w:ind w:left="850"/>
      <w:jc w:val="both"/>
    </w:pPr>
    <w:rPr>
      <w:rFonts w:cs="Mangal"/>
    </w:rPr>
  </w:style>
  <w:style w:type="paragraph" w:customStyle="1" w:styleId="NumPar1">
    <w:name w:val="NumPar 1"/>
    <w:basedOn w:val="Normal"/>
    <w:next w:val="Text1"/>
    <w:uiPriority w:val="99"/>
    <w:rsid w:val="00235859"/>
    <w:pPr>
      <w:tabs>
        <w:tab w:val="num" w:pos="1560"/>
        <w:tab w:val="num" w:pos="4090"/>
      </w:tabs>
      <w:spacing w:before="120" w:after="120"/>
      <w:ind w:left="4090" w:hanging="850"/>
      <w:jc w:val="both"/>
    </w:pPr>
    <w:rPr>
      <w:rFonts w:cs="Mangal"/>
    </w:rPr>
  </w:style>
  <w:style w:type="character" w:customStyle="1" w:styleId="Heading2Char">
    <w:name w:val="Heading 2 Char"/>
    <w:link w:val="Heading2"/>
    <w:uiPriority w:val="9"/>
    <w:rsid w:val="00F312CA"/>
    <w:rPr>
      <w:rFonts w:ascii="Cambria" w:eastAsia="Times New Roman" w:hAnsi="Cambria" w:cs="Times New Roman"/>
      <w:b/>
      <w:bCs/>
      <w:color w:val="4F81BD"/>
      <w:sz w:val="26"/>
      <w:szCs w:val="26"/>
      <w:lang w:val="fr-FR" w:eastAsia="fr-FR"/>
    </w:rPr>
  </w:style>
  <w:style w:type="paragraph" w:styleId="FootnoteText">
    <w:name w:val="footnote text"/>
    <w:basedOn w:val="Normal"/>
    <w:link w:val="FootnoteTextChar"/>
    <w:uiPriority w:val="99"/>
    <w:semiHidden/>
    <w:unhideWhenUsed/>
    <w:rsid w:val="00C37C6F"/>
    <w:rPr>
      <w:sz w:val="20"/>
      <w:szCs w:val="20"/>
    </w:rPr>
  </w:style>
  <w:style w:type="character" w:customStyle="1" w:styleId="FootnoteTextChar">
    <w:name w:val="Footnote Text Char"/>
    <w:link w:val="FootnoteText"/>
    <w:uiPriority w:val="99"/>
    <w:semiHidden/>
    <w:rsid w:val="00C37C6F"/>
    <w:rPr>
      <w:lang w:val="fr-FR" w:eastAsia="fr-FR"/>
    </w:rPr>
  </w:style>
  <w:style w:type="character" w:styleId="FootnoteReference">
    <w:name w:val="footnote reference"/>
    <w:uiPriority w:val="99"/>
    <w:unhideWhenUsed/>
    <w:rsid w:val="00C37C6F"/>
    <w:rPr>
      <w:vertAlign w:val="superscript"/>
    </w:rPr>
  </w:style>
  <w:style w:type="character" w:styleId="FollowedHyperlink">
    <w:name w:val="FollowedHyperlink"/>
    <w:uiPriority w:val="99"/>
    <w:semiHidden/>
    <w:unhideWhenUsed/>
    <w:rsid w:val="00C37C6F"/>
    <w:rPr>
      <w:color w:val="800080"/>
      <w:u w:val="single"/>
    </w:rPr>
  </w:style>
  <w:style w:type="paragraph" w:styleId="Footer">
    <w:name w:val="footer"/>
    <w:basedOn w:val="Normal"/>
    <w:link w:val="FooterChar"/>
    <w:uiPriority w:val="99"/>
    <w:unhideWhenUsed/>
    <w:rsid w:val="00C37C6F"/>
    <w:pPr>
      <w:tabs>
        <w:tab w:val="center" w:pos="4680"/>
        <w:tab w:val="right" w:pos="9360"/>
      </w:tabs>
    </w:pPr>
  </w:style>
  <w:style w:type="character" w:customStyle="1" w:styleId="FooterChar">
    <w:name w:val="Footer Char"/>
    <w:link w:val="Footer"/>
    <w:uiPriority w:val="99"/>
    <w:rsid w:val="00C37C6F"/>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18A3-1166-4CBE-879E-59AD9D35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846</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cp:revision>
  <cp:lastPrinted>2015-09-04T16:50:00Z</cp:lastPrinted>
  <dcterms:created xsi:type="dcterms:W3CDTF">2017-02-22T13:00:00Z</dcterms:created>
  <dcterms:modified xsi:type="dcterms:W3CDTF">2017-02-27T14:33:00Z</dcterms:modified>
</cp:coreProperties>
</file>