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9E4660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9E4660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9E466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9E4660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660">
        <w:rPr>
          <w:rFonts w:ascii="Arial" w:hAnsi="Arial"/>
          <w:noProof/>
          <w:color w:val="07398A"/>
          <w:sz w:val="32"/>
        </w:rPr>
        <w:t>Oprettelse af en reserveliste</w:t>
      </w:r>
    </w:p>
    <w:p w:rsidR="00925FE1" w:rsidRPr="009E466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9E4660">
        <w:rPr>
          <w:rFonts w:ascii="Arial" w:hAnsi="Arial"/>
          <w:noProof/>
          <w:color w:val="92D050"/>
        </w:rPr>
        <w:t>Juridisk medarbejder (ref CN267)</w:t>
      </w:r>
    </w:p>
    <w:p w:rsidR="00925FE1" w:rsidRPr="009E466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9E4660">
        <w:rPr>
          <w:rFonts w:ascii="Arial" w:hAnsi="Arial"/>
          <w:noProof/>
          <w:color w:val="92D050"/>
          <w:sz w:val="20"/>
        </w:rPr>
        <w:t>Varighed: 2 år – kontraktansat – FG IV</w:t>
      </w:r>
    </w:p>
    <w:p w:rsidR="00925FE1" w:rsidRPr="009E466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9E4660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SESAR-fællesforetagendet har udarbejdet en ansættelsesprocedure med det formål at oprette en </w:t>
      </w:r>
      <w:r w:rsidRPr="009E4660">
        <w:rPr>
          <w:rFonts w:ascii="Arial" w:hAnsi="Arial"/>
          <w:b/>
          <w:sz w:val="20"/>
        </w:rPr>
        <w:t>reserveliste</w:t>
      </w:r>
      <w:r w:rsidRPr="009E4660">
        <w:rPr>
          <w:rFonts w:ascii="Arial" w:hAnsi="Arial"/>
          <w:sz w:val="20"/>
        </w:rPr>
        <w:t xml:space="preserve"> for stillingen som </w:t>
      </w:r>
      <w:r w:rsidRPr="009E4660">
        <w:rPr>
          <w:rFonts w:ascii="Arial" w:hAnsi="Arial"/>
          <w:b/>
          <w:sz w:val="20"/>
        </w:rPr>
        <w:t>juridisk medarbejder</w:t>
      </w:r>
      <w:r w:rsidRPr="009E4660">
        <w:rPr>
          <w:rFonts w:ascii="Arial" w:hAnsi="Arial"/>
          <w:sz w:val="20"/>
        </w:rPr>
        <w:t xml:space="preserve">. </w:t>
      </w:r>
      <w:r w:rsidRPr="009E4660">
        <w:rPr>
          <w:rFonts w:ascii="Arial" w:hAnsi="Arial"/>
          <w:sz w:val="20"/>
        </w:rPr>
        <w:t>Tjenestestedet er i Bruxelles, Belgien, hvor SESAR-fællesforetagendet har hovedsæde, og hvor den pågældende ansættes.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Der findes yderligere oplysninger om SESAR-fællesforetagendets aktiviteter på: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9E4660">
        <w:rPr>
          <w:color w:val="0070C0"/>
          <w:sz w:val="20"/>
          <w:u w:val="single"/>
        </w:rPr>
        <w:t>http://www.sesarju.eu</w:t>
      </w:r>
      <w:r>
        <w:fldChar w:fldCharType="end"/>
      </w:r>
      <w:r w:rsidRPr="009E4660">
        <w:rPr>
          <w:rFonts w:ascii="Arial" w:hAnsi="Arial"/>
          <w:sz w:val="20"/>
        </w:rPr>
        <w:t>.</w:t>
      </w:r>
    </w:p>
    <w:p w:rsidR="00925FE1" w:rsidRPr="009E4660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9E4660">
        <w:rPr>
          <w:rFonts w:ascii="Arial" w:hAnsi="Arial"/>
          <w:b/>
          <w:color w:val="002060"/>
          <w:sz w:val="20"/>
        </w:rPr>
        <w:t>VIGTIGSTE ANSVARSOMRÅDER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Den juridiske medarbejder vil blive tilknyttet </w:t>
      </w:r>
      <w:r w:rsidRPr="009E4660">
        <w:rPr>
          <w:rFonts w:ascii="Arial" w:hAnsi="Arial"/>
          <w:sz w:val="20"/>
        </w:rPr>
        <w:t>SJU's</w:t>
      </w:r>
      <w:r w:rsidRPr="009E4660">
        <w:rPr>
          <w:rFonts w:ascii="Arial" w:hAnsi="Arial"/>
          <w:sz w:val="20"/>
        </w:rPr>
        <w:t xml:space="preserve"> juridiske sektion og indkøbssektion. 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Under sektionslederens direkte ansvar vil den juridiske medarbejder få arbejdsopgaver og bl.a. skull</w:t>
      </w:r>
      <w:r w:rsidRPr="009E4660">
        <w:rPr>
          <w:rFonts w:ascii="Arial" w:hAnsi="Arial"/>
          <w:sz w:val="20"/>
        </w:rPr>
        <w:t>e:</w:t>
      </w:r>
    </w:p>
    <w:p w:rsidR="00925FE1" w:rsidRPr="009E4660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9E4660">
        <w:rPr>
          <w:rFonts w:ascii="Helvetica" w:hAnsi="Helvetica"/>
          <w:color w:val="000000"/>
          <w:sz w:val="19"/>
        </w:rPr>
        <w:t>udarbejde</w:t>
      </w:r>
      <w:r w:rsidRPr="009E4660">
        <w:rPr>
          <w:rFonts w:ascii="Helvetica" w:hAnsi="Helvetica"/>
          <w:color w:val="000000"/>
          <w:sz w:val="19"/>
        </w:rPr>
        <w:t xml:space="preserve"> udtalelser, rapporter og arbejdsdokumenter om ethvert juridisk problem, der måtte opstå i forbindelse med </w:t>
      </w:r>
      <w:r w:rsidRPr="009E4660">
        <w:rPr>
          <w:rFonts w:ascii="Helvetica" w:hAnsi="Helvetica"/>
          <w:color w:val="000000"/>
          <w:sz w:val="19"/>
        </w:rPr>
        <w:t>SJU's</w:t>
      </w:r>
      <w:r w:rsidRPr="009E4660">
        <w:rPr>
          <w:rFonts w:ascii="Helvetica" w:hAnsi="Helvetica"/>
          <w:color w:val="000000"/>
          <w:sz w:val="19"/>
        </w:rPr>
        <w:t xml:space="preserve"> daglige aktiviteter og gennemførelsen af gældende regler og politikker </w:t>
      </w:r>
    </w:p>
    <w:p w:rsidR="00925FE1" w:rsidRPr="009E466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9E4660">
        <w:rPr>
          <w:rFonts w:ascii="Helvetica" w:hAnsi="Helvetica"/>
          <w:color w:val="000000"/>
          <w:sz w:val="19"/>
        </w:rPr>
        <w:t>analysere</w:t>
      </w:r>
      <w:r w:rsidRPr="009E4660">
        <w:rPr>
          <w:rFonts w:ascii="Helvetica" w:hAnsi="Helvetica"/>
          <w:color w:val="000000"/>
          <w:sz w:val="19"/>
        </w:rPr>
        <w:t xml:space="preserve"> juridisk dokumentation og gennemføre undersøgelse</w:t>
      </w:r>
      <w:r w:rsidRPr="009E4660">
        <w:rPr>
          <w:rFonts w:ascii="Helvetica" w:hAnsi="Helvetica"/>
          <w:color w:val="000000"/>
          <w:sz w:val="19"/>
        </w:rPr>
        <w:t xml:space="preserve">r/analyser af de relevante lovgivnings- og reguleringsrammer, inden for hvilke SJU udfører sine aktiviteter </w:t>
      </w:r>
    </w:p>
    <w:p w:rsidR="00925FE1" w:rsidRPr="009E4660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9E4660">
        <w:rPr>
          <w:rFonts w:ascii="Helvetica" w:hAnsi="Helvetica"/>
          <w:color w:val="000000"/>
          <w:sz w:val="19"/>
        </w:rPr>
        <w:t>yde</w:t>
      </w:r>
      <w:r w:rsidRPr="009E4660">
        <w:rPr>
          <w:rFonts w:ascii="Helvetica" w:hAnsi="Helvetica"/>
          <w:color w:val="000000"/>
          <w:sz w:val="19"/>
        </w:rPr>
        <w:t xml:space="preserve"> støtte til udarbejdelsen af </w:t>
      </w:r>
      <w:r w:rsidRPr="009E4660">
        <w:rPr>
          <w:rFonts w:ascii="Helvetica" w:hAnsi="Helvetica"/>
          <w:color w:val="000000"/>
          <w:sz w:val="19"/>
        </w:rPr>
        <w:t>SJU's</w:t>
      </w:r>
      <w:r w:rsidRPr="009E4660">
        <w:rPr>
          <w:rFonts w:ascii="Helvetica" w:hAnsi="Helvetica"/>
          <w:color w:val="000000"/>
          <w:sz w:val="19"/>
        </w:rPr>
        <w:t xml:space="preserve"> juridiske instrumenter </w:t>
      </w:r>
    </w:p>
    <w:p w:rsidR="00925FE1" w:rsidRPr="009E466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9E4660">
        <w:rPr>
          <w:rFonts w:ascii="Helvetica" w:hAnsi="Helvetica"/>
          <w:color w:val="000000"/>
          <w:sz w:val="19"/>
        </w:rPr>
        <w:t>yde</w:t>
      </w:r>
      <w:r w:rsidRPr="009E4660">
        <w:rPr>
          <w:rFonts w:ascii="Helvetica" w:hAnsi="Helvetica"/>
          <w:color w:val="000000"/>
          <w:sz w:val="19"/>
        </w:rPr>
        <w:t xml:space="preserve"> juridisk rådgivning i forbindelse med udarbejdelse og fortolkning af </w:t>
      </w:r>
      <w:r w:rsidRPr="009E4660">
        <w:rPr>
          <w:rFonts w:ascii="Helvetica" w:hAnsi="Helvetica"/>
          <w:color w:val="000000"/>
          <w:sz w:val="19"/>
        </w:rPr>
        <w:t>SJU's</w:t>
      </w:r>
      <w:r w:rsidRPr="009E4660">
        <w:rPr>
          <w:rFonts w:ascii="Helvetica" w:hAnsi="Helvetica"/>
          <w:color w:val="000000"/>
          <w:sz w:val="19"/>
        </w:rPr>
        <w:t xml:space="preserve"> regler</w:t>
      </w:r>
      <w:r w:rsidRPr="009E4660">
        <w:rPr>
          <w:rFonts w:ascii="Helvetica" w:hAnsi="Helvetica"/>
          <w:color w:val="000000"/>
          <w:sz w:val="19"/>
        </w:rPr>
        <w:t xml:space="preserve"> (navnlig finansregler) </w:t>
      </w:r>
    </w:p>
    <w:p w:rsidR="00925FE1" w:rsidRPr="009E466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9E4660">
        <w:rPr>
          <w:rFonts w:ascii="Helvetica" w:hAnsi="Helvetica"/>
          <w:color w:val="000000"/>
          <w:sz w:val="19"/>
        </w:rPr>
        <w:t>forberede</w:t>
      </w:r>
      <w:r w:rsidRPr="009E4660">
        <w:rPr>
          <w:rFonts w:ascii="Helvetica" w:hAnsi="Helvetica"/>
          <w:color w:val="000000"/>
          <w:sz w:val="19"/>
        </w:rPr>
        <w:t>, forvalte og yde rådgivning i forbindelse med tilskuds- og indkøbsprocedurer og de heraf følgende kontraktlige procedurer og arrangementer.</w:t>
      </w:r>
    </w:p>
    <w:p w:rsidR="00925FE1" w:rsidRPr="009E4660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9E4660">
        <w:rPr>
          <w:rFonts w:ascii="Arial" w:hAnsi="Arial"/>
          <w:b/>
          <w:color w:val="002060"/>
          <w:sz w:val="20"/>
        </w:rPr>
        <w:t>KVALIFIKATIONSKRITERIER</w:t>
      </w:r>
    </w:p>
    <w:p w:rsidR="00925FE1" w:rsidRPr="009E4660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4660">
        <w:rPr>
          <w:rFonts w:ascii="Arial" w:hAnsi="Arial"/>
          <w:b/>
          <w:sz w:val="20"/>
          <w:u w:val="single"/>
        </w:rPr>
        <w:t xml:space="preserve">Ansøgerne skal være opført på en gyldig reserveliste hos </w:t>
      </w:r>
      <w:r w:rsidRPr="009E4660">
        <w:rPr>
          <w:rFonts w:ascii="Arial" w:hAnsi="Arial"/>
          <w:b/>
          <w:sz w:val="20"/>
          <w:u w:val="single"/>
        </w:rPr>
        <w:t>EPSO (Det Europæiske Personaleudvælgelseskontor) for kontraktansatte i ansættelsesgruppe IV i en relevant profil.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E4660">
        <w:rPr>
          <w:rFonts w:ascii="Arial" w:hAnsi="Arial"/>
          <w:b/>
          <w:color w:val="92D050"/>
          <w:sz w:val="20"/>
        </w:rPr>
        <w:t>3.1</w:t>
      </w:r>
      <w:r w:rsidRPr="009E4660">
        <w:tab/>
      </w:r>
      <w:r w:rsidRPr="009E4660">
        <w:rPr>
          <w:rFonts w:ascii="Arial" w:hAnsi="Arial"/>
          <w:b/>
          <w:color w:val="92D050"/>
          <w:sz w:val="20"/>
        </w:rPr>
        <w:t>Mindstekrav til kvalifikationer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Ansøgeren skal have et uddannelsesniveau svarende til afsluttede universitetsstudier i jura med bevis for</w:t>
      </w:r>
      <w:r w:rsidRPr="009E4660">
        <w:rPr>
          <w:rFonts w:ascii="Arial" w:hAnsi="Arial"/>
          <w:sz w:val="20"/>
        </w:rPr>
        <w:t xml:space="preserve"> afsluttet uddannelse, hvor den normale varighed af universitetsuddannelsen er fire år eller derover</w:t>
      </w:r>
    </w:p>
    <w:p w:rsidR="00925FE1" w:rsidRPr="009E4660" w:rsidP="00925FE1">
      <w:pPr>
        <w:jc w:val="center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eller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et</w:t>
      </w:r>
      <w:r w:rsidRPr="009E4660">
        <w:rPr>
          <w:rFonts w:ascii="Arial" w:hAnsi="Arial"/>
          <w:sz w:val="20"/>
        </w:rPr>
        <w:t xml:space="preserve"> uddannelsesniveau svarende til afsluttede universitetsstudier i jura med bevis for afsluttet uddannelse, hvor den normale varighed af universitets</w:t>
      </w:r>
      <w:r w:rsidRPr="009E4660">
        <w:rPr>
          <w:rFonts w:ascii="Arial" w:hAnsi="Arial"/>
          <w:sz w:val="20"/>
        </w:rPr>
        <w:t>uddannelsen er tre år, samt mindst et års relevant erhvervserfaring efter endt uddannelse.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b/>
          <w:color w:val="92D050"/>
          <w:sz w:val="20"/>
        </w:rPr>
        <w:t>3.2</w:t>
      </w:r>
      <w:r w:rsidRPr="009E4660">
        <w:tab/>
      </w:r>
      <w:r w:rsidRPr="009E4660">
        <w:rPr>
          <w:rFonts w:ascii="Arial" w:hAnsi="Arial"/>
          <w:b/>
          <w:color w:val="92D050"/>
          <w:sz w:val="20"/>
        </w:rPr>
        <w:t>Mindstekrav til erhvervserfaring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Ansøgeren skal have mindst </w:t>
      </w:r>
      <w:r w:rsidRPr="009E4660">
        <w:rPr>
          <w:rFonts w:ascii="Arial" w:hAnsi="Arial"/>
          <w:b/>
          <w:sz w:val="20"/>
        </w:rPr>
        <w:t>3 års</w:t>
      </w:r>
      <w:r w:rsidRPr="009E4660">
        <w:rPr>
          <w:rFonts w:ascii="Arial" w:hAnsi="Arial"/>
          <w:sz w:val="20"/>
        </w:rPr>
        <w:t xml:space="preserve"> dokumenteret erhvervserfaring, som skal være opnået efter erhvervelsen af mindstekravene til k</w:t>
      </w:r>
      <w:r w:rsidRPr="009E4660">
        <w:rPr>
          <w:rFonts w:ascii="Arial" w:hAnsi="Arial"/>
          <w:sz w:val="20"/>
        </w:rPr>
        <w:t>valifikationer.</w:t>
      </w:r>
    </w:p>
    <w:p w:rsidR="00925FE1" w:rsidRPr="009E4660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b/>
          <w:color w:val="92D050"/>
          <w:sz w:val="20"/>
        </w:rPr>
        <w:t>3.3</w:t>
      </w:r>
      <w:r w:rsidRPr="009E4660">
        <w:tab/>
      </w:r>
      <w:r w:rsidRPr="009E4660">
        <w:rPr>
          <w:rFonts w:ascii="Arial" w:hAnsi="Arial"/>
          <w:b/>
          <w:color w:val="92D050"/>
          <w:sz w:val="20"/>
        </w:rPr>
        <w:t>Nødvendige sprogkundskaber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Ansøgeren skal have et indgående kendskab til engelsk og et tilfredsstillende kendskab til et andet EU-sprog i det omfang, det er nødvendigt for, at ansøgeren kan udføre sine opgaver.</w:t>
      </w:r>
    </w:p>
    <w:p w:rsidR="00925FE1" w:rsidRPr="009E4660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9E4660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9E4660">
        <w:rPr>
          <w:rFonts w:ascii="Arial" w:hAnsi="Arial"/>
          <w:b/>
          <w:color w:val="92D050"/>
          <w:sz w:val="20"/>
        </w:rPr>
        <w:t>3.3</w:t>
      </w:r>
      <w:r w:rsidRPr="009E4660">
        <w:tab/>
      </w:r>
      <w:r w:rsidRPr="009E4660">
        <w:rPr>
          <w:rFonts w:ascii="Arial" w:hAnsi="Arial"/>
          <w:b/>
          <w:color w:val="92D050"/>
          <w:sz w:val="20"/>
        </w:rPr>
        <w:t>Derudover skal ansø</w:t>
      </w:r>
      <w:r w:rsidRPr="009E4660">
        <w:rPr>
          <w:rFonts w:ascii="Arial" w:hAnsi="Arial"/>
          <w:b/>
          <w:color w:val="92D050"/>
          <w:sz w:val="20"/>
        </w:rPr>
        <w:t>geren: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være</w:t>
      </w:r>
      <w:r w:rsidRPr="009E4660">
        <w:rPr>
          <w:rFonts w:ascii="Arial" w:hAnsi="Arial"/>
          <w:sz w:val="20"/>
        </w:rPr>
        <w:t xml:space="preserve"> statsborger i en af Den Europæiske Unions medlemsstater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have</w:t>
      </w:r>
      <w:r w:rsidRPr="009E4660">
        <w:rPr>
          <w:rFonts w:ascii="Arial" w:hAnsi="Arial"/>
          <w:sz w:val="20"/>
        </w:rPr>
        <w:t xml:space="preserve"> opfyldt eventuelle lovbestemte forpligtelser vedrørende værnepligt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være</w:t>
      </w:r>
      <w:r w:rsidRPr="009E4660">
        <w:rPr>
          <w:rFonts w:ascii="Arial" w:hAnsi="Arial"/>
          <w:sz w:val="20"/>
        </w:rPr>
        <w:t xml:space="preserve"> i besiddelse af sine borgerlige rettigheder</w:t>
      </w:r>
      <w:r>
        <w:rPr>
          <w:rFonts w:ascii="Arial" w:hAnsi="Arial"/>
          <w:sz w:val="20"/>
          <w:vertAlign w:val="superscript"/>
        </w:rPr>
        <w:footnoteReference w:id="2"/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fremlægge</w:t>
      </w:r>
      <w:r w:rsidRPr="009E4660">
        <w:rPr>
          <w:rFonts w:ascii="Arial" w:hAnsi="Arial"/>
          <w:sz w:val="20"/>
        </w:rPr>
        <w:t xml:space="preserve"> de relevante referencer med hensyn til opfyldelse af de </w:t>
      </w:r>
      <w:r w:rsidRPr="009E4660">
        <w:rPr>
          <w:rFonts w:ascii="Arial" w:hAnsi="Arial"/>
          <w:sz w:val="20"/>
        </w:rPr>
        <w:t>vandelskrav, der stilles for at bestride den pågældende stilling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opfylde</w:t>
      </w:r>
      <w:r w:rsidRPr="009E4660">
        <w:rPr>
          <w:rFonts w:ascii="Arial" w:hAnsi="Arial"/>
          <w:sz w:val="20"/>
        </w:rPr>
        <w:t xml:space="preserve"> de for hvervet nødvendige fysiske krav</w:t>
      </w:r>
      <w:r>
        <w:rPr>
          <w:rFonts w:ascii="Arial" w:hAnsi="Arial"/>
          <w:sz w:val="20"/>
          <w:vertAlign w:val="superscript"/>
        </w:rPr>
        <w:footnoteReference w:id="3"/>
      </w:r>
      <w:r w:rsidRPr="009E4660">
        <w:rPr>
          <w:rFonts w:ascii="Arial" w:hAnsi="Arial"/>
          <w:sz w:val="20"/>
        </w:rPr>
        <w:t xml:space="preserve">. </w:t>
      </w:r>
    </w:p>
    <w:p w:rsidR="00B52D76" w:rsidRPr="009E4660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9E4660">
        <w:rPr>
          <w:rFonts w:ascii="Arial" w:hAnsi="Arial"/>
          <w:b/>
          <w:color w:val="002060"/>
          <w:sz w:val="20"/>
        </w:rPr>
        <w:t>YDERLIGERE OPLYSNINGER</w:t>
      </w:r>
    </w:p>
    <w:p w:rsidR="00B52D76" w:rsidRPr="009E4660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Ansøgerne skal pr. e-mail til den funktionelle mailboks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9E4660">
        <w:rPr>
          <w:color w:val="0000FF"/>
          <w:sz w:val="22"/>
          <w:u w:val="single"/>
        </w:rPr>
        <w:t>recruitmentcn267</w:t>
      </w:r>
      <w:r w:rsidRPr="009E4660">
        <w:rPr>
          <w:color w:val="0000FF"/>
          <w:sz w:val="20"/>
          <w:u w:val="single"/>
        </w:rPr>
        <w:t>@sesarju.eu</w:t>
      </w:r>
      <w:r>
        <w:fldChar w:fldCharType="end"/>
      </w:r>
      <w:r w:rsidRPr="009E4660">
        <w:rPr>
          <w:rFonts w:ascii="Arial" w:hAnsi="Arial"/>
          <w:sz w:val="20"/>
        </w:rPr>
        <w:t xml:space="preserve"> indsende en </w:t>
      </w:r>
      <w:r w:rsidRPr="009E4660">
        <w:rPr>
          <w:rFonts w:ascii="Arial" w:hAnsi="Arial"/>
          <w:b/>
          <w:color w:val="FF0000"/>
          <w:sz w:val="20"/>
          <w:u w:val="single"/>
        </w:rPr>
        <w:t>ENKELT Adobe Acrobat PDF-fil i A4-format (størrelse: max. 5 MB) sammen med ALLE nedenstående scannede dokumenter</w:t>
      </w:r>
      <w:r w:rsidRPr="009E4660">
        <w:rPr>
          <w:rFonts w:ascii="Arial" w:hAnsi="Arial"/>
          <w:sz w:val="20"/>
        </w:rPr>
        <w:t>:</w:t>
      </w:r>
    </w:p>
    <w:p w:rsidR="00B52D76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et</w:t>
      </w:r>
      <w:r w:rsidRPr="009E4660">
        <w:rPr>
          <w:rFonts w:ascii="Arial" w:hAnsi="Arial"/>
          <w:sz w:val="20"/>
        </w:rPr>
        <w:t xml:space="preserve"> curriculum vitae (cv) i </w:t>
      </w:r>
      <w:r w:rsidRPr="009E4660">
        <w:rPr>
          <w:rFonts w:ascii="Arial" w:hAnsi="Arial"/>
          <w:sz w:val="20"/>
        </w:rPr>
        <w:t>Europass</w:t>
      </w:r>
      <w:r w:rsidRPr="009E4660">
        <w:rPr>
          <w:rFonts w:ascii="Arial" w:hAnsi="Arial"/>
          <w:sz w:val="20"/>
        </w:rPr>
        <w:t xml:space="preserve">-format (findes på følgende websted: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9E4660">
        <w:rPr>
          <w:color w:val="0000FF"/>
          <w:sz w:val="20"/>
          <w:u w:val="single"/>
        </w:rPr>
        <w:t>http://</w:t>
      </w:r>
      <w:r w:rsidRPr="009E4660">
        <w:rPr>
          <w:color w:val="0000FF"/>
          <w:sz w:val="22"/>
          <w:u w:val="single"/>
        </w:rPr>
        <w:t>europass</w:t>
      </w:r>
      <w:r w:rsidRPr="009E4660">
        <w:rPr>
          <w:color w:val="0000FF"/>
          <w:sz w:val="20"/>
          <w:u w:val="single"/>
        </w:rPr>
        <w:t>.cedefop.</w:t>
      </w:r>
      <w:r w:rsidRPr="009E4660">
        <w:rPr>
          <w:color w:val="0000FF"/>
          <w:sz w:val="22"/>
          <w:u w:val="single"/>
        </w:rPr>
        <w:t>europa</w:t>
      </w:r>
      <w:r w:rsidRPr="009E4660">
        <w:rPr>
          <w:color w:val="0000FF"/>
          <w:sz w:val="20"/>
          <w:u w:val="single"/>
        </w:rPr>
        <w:t>.eu</w:t>
      </w:r>
      <w:r>
        <w:fldChar w:fldCharType="end"/>
      </w:r>
      <w:r w:rsidRPr="009E4660">
        <w:rPr>
          <w:rFonts w:ascii="Arial" w:hAnsi="Arial"/>
          <w:sz w:val="20"/>
        </w:rPr>
        <w:t xml:space="preserve"> )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et</w:t>
      </w:r>
      <w:r w:rsidRPr="009E4660">
        <w:rPr>
          <w:rFonts w:ascii="Arial" w:hAnsi="Arial"/>
          <w:sz w:val="20"/>
        </w:rPr>
        <w:t xml:space="preserve"> underskrevet motivationsbrev på højst én side, hvori der redegøres for, hvorfor ansøgeren er interesseret i stillingen, og hvilken merværdi ansøgeren vil kunne tilføre SJU, hvis vedkommende vælg</w:t>
      </w:r>
      <w:r w:rsidRPr="009E4660">
        <w:rPr>
          <w:rFonts w:ascii="Arial" w:hAnsi="Arial"/>
          <w:sz w:val="20"/>
        </w:rPr>
        <w:t>es</w:t>
      </w:r>
    </w:p>
    <w:p w:rsidR="00925FE1" w:rsidRPr="009E466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en</w:t>
      </w:r>
      <w:r w:rsidRPr="009E4660">
        <w:rPr>
          <w:rFonts w:ascii="Arial" w:hAnsi="Arial"/>
          <w:sz w:val="20"/>
        </w:rPr>
        <w:t xml:space="preserve"> behørigt udfyldt og underskrevet tro- og love-erklæring med hensyn til kvalifikations- og udvælgelseskriterierne (kan downloades fra vores websted).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E4660">
        <w:rPr>
          <w:rFonts w:ascii="Arial" w:hAnsi="Arial"/>
          <w:b/>
          <w:i/>
          <w:sz w:val="20"/>
          <w:u w:val="single"/>
        </w:rPr>
        <w:t>Den enkelte Adobe Acrobat PDF-ansøgningsfil i A4-format skal navngives på følgende måde: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9E4660">
        <w:rPr>
          <w:rFonts w:ascii="Arial" w:hAnsi="Arial"/>
          <w:b/>
          <w:i/>
          <w:sz w:val="20"/>
        </w:rPr>
        <w:t>[EFTERNAVN_Fornavn_CN267.pdf]</w:t>
      </w:r>
      <w:r w:rsidRPr="009E4660">
        <w:rPr>
          <w:rFonts w:ascii="Arial" w:hAnsi="Arial"/>
          <w:b/>
          <w:i/>
          <w:sz w:val="20"/>
          <w:u w:val="single"/>
        </w:rPr>
        <w:t>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Titlen og den præcise reference for den ledige stilling anføres i e-mailens emnefelt. Ansøgninger, hvor formatet og/eller indholdet af </w:t>
      </w:r>
      <w:r w:rsidRPr="009E4660">
        <w:rPr>
          <w:rFonts w:ascii="Arial" w:hAnsi="Arial"/>
          <w:sz w:val="20"/>
        </w:rPr>
        <w:t>Europass</w:t>
      </w:r>
      <w:r w:rsidRPr="009E4660">
        <w:rPr>
          <w:rFonts w:ascii="Arial" w:hAnsi="Arial"/>
          <w:sz w:val="20"/>
        </w:rPr>
        <w:t>-cv'et og tro- og love-erklæringen er blevet ændret, kan erklæres ugyldige af SJU</w:t>
      </w:r>
      <w:r w:rsidRPr="009E4660">
        <w:rPr>
          <w:rFonts w:ascii="Arial" w:hAnsi="Arial"/>
          <w:sz w:val="20"/>
        </w:rPr>
        <w:t>.</w:t>
      </w:r>
    </w:p>
    <w:p w:rsidR="00925FE1" w:rsidRPr="009E466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9E4660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E4660">
        <w:rPr>
          <w:rFonts w:ascii="Arial" w:hAnsi="Arial"/>
          <w:b/>
          <w:color w:val="FF0000"/>
          <w:sz w:val="20"/>
          <w:u w:val="single"/>
        </w:rPr>
        <w:t>Fristen for indsendelse af ansøgninger er den 31. marts 2017 kl. 23.00 Bruxelles-tid.</w:t>
      </w:r>
    </w:p>
    <w:p w:rsidR="00F006D8" w:rsidRPr="009E4660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9E4660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GODKENDELSE INDEN OFFENTLIGGØRELSE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administrerende direktør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GODKENDELSE INDEN OFFENTLIGGØRELSE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administrerende direktør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660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GODKENDELSE INDEN OFFENTLIGGØRELSE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administrerende direktør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GODKENDELSE INDEN OFFENTLIGGØRELSE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administrerende direktør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9E4660" w:rsidP="00F006D8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Der findes flere oplysninger om yderligere krav, jobfunktionerne og udvælgelses-, samtale- og prøveprocedurerne samt oplysninger om arbejdsvilkårene i det udvidede stillingsopslag, der kan downloades fra SESAR-fællesforetagendets side med karrieremulighede</w:t>
      </w:r>
      <w:r w:rsidRPr="009E4660">
        <w:rPr>
          <w:rFonts w:ascii="Arial" w:hAnsi="Arial"/>
          <w:sz w:val="20"/>
        </w:rPr>
        <w:t xml:space="preserve">r: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9E4660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9E4660">
        <w:rPr>
          <w:rFonts w:ascii="Arial" w:hAnsi="Arial"/>
          <w:sz w:val="20"/>
        </w:rPr>
        <w:t xml:space="preserve">. </w:t>
      </w:r>
    </w:p>
    <w:p w:rsidR="00B52D76" w:rsidRPr="009E4660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9E4660" w:rsidP="00B52D76">
      <w:pPr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 xml:space="preserve">Samtalen vil finde sted i Bruxelles, Belgien, hvor SJU har hovedsæde, og hvor den pågældende ansættes. </w:t>
      </w:r>
      <w:r w:rsidRPr="009E4660">
        <w:rPr>
          <w:rFonts w:ascii="Arial" w:hAnsi="Arial"/>
          <w:sz w:val="20"/>
          <w:u w:val="single"/>
        </w:rPr>
        <w:t xml:space="preserve">Datoen for prøven og/eller samtalen er foreløbigt fastsat til </w:t>
      </w:r>
      <w:r w:rsidRPr="009E4660">
        <w:rPr>
          <w:rFonts w:ascii="Arial" w:hAnsi="Arial"/>
          <w:b/>
          <w:sz w:val="20"/>
          <w:u w:val="single"/>
        </w:rPr>
        <w:t>anden halvdel af april 2017</w:t>
      </w:r>
      <w:r w:rsidRPr="009E4660">
        <w:rPr>
          <w:rFonts w:ascii="Arial" w:hAnsi="Arial"/>
          <w:sz w:val="20"/>
        </w:rPr>
        <w:t xml:space="preserve"> (indtil videre og afhængigt af antallet af ansøgere). Ansøgerne underrettes om datoen med mindst 15 dages varsel.</w:t>
      </w:r>
    </w:p>
    <w:p w:rsidR="00B52D76" w:rsidRPr="009E4660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9E4660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4660">
        <w:rPr>
          <w:rFonts w:ascii="Arial" w:hAnsi="Arial"/>
          <w:sz w:val="20"/>
        </w:rPr>
        <w:t>På grundlag af samtalerne indstiller udvælgelseskom</w:t>
      </w:r>
      <w:r w:rsidRPr="009E4660">
        <w:rPr>
          <w:rFonts w:ascii="Arial" w:hAnsi="Arial"/>
          <w:sz w:val="20"/>
        </w:rPr>
        <w:t xml:space="preserve">itéen de bedst egnede ansøgere til den pågældende stilling. Listen over egnede ansøgere, der er opstillet af udvælgelseskomitéen, kan også anvendes til besættelse af en tilsvarende stilling afhængigt af </w:t>
      </w:r>
      <w:r w:rsidRPr="009E4660">
        <w:rPr>
          <w:rFonts w:ascii="Arial" w:hAnsi="Arial"/>
          <w:sz w:val="20"/>
        </w:rPr>
        <w:t>SJU's</w:t>
      </w:r>
      <w:r w:rsidRPr="009E4660">
        <w:rPr>
          <w:rFonts w:ascii="Arial" w:hAnsi="Arial"/>
          <w:sz w:val="20"/>
        </w:rPr>
        <w:t xml:space="preserve"> behov og vil være gyldig frem til den 31. decem</w:t>
      </w:r>
      <w:r w:rsidRPr="009E4660">
        <w:rPr>
          <w:rFonts w:ascii="Arial" w:hAnsi="Arial"/>
          <w:sz w:val="20"/>
        </w:rPr>
        <w:t>ber 2017 (reservelistens gyldighed kan forlænges). Hver enkelt ansøger vil pr. brev blive underrettet om, hvorvidt han/hun er blevet optaget på reservelisten. Ansøgere bør bemærke, at opførelse på en reserveliste ikke er en garanti for ansættelse.</w:t>
      </w:r>
    </w:p>
    <w:p w:rsidR="00F006D8" w:rsidRPr="009E4660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9E4660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9E4660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Inden ansættelsen skal den valgte ansøger fremlægge en ren straffeattest.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Inden ansættelsen skal ansøgeren undergå en </w:t>
      </w:r>
      <w:r>
        <w:rPr>
          <w:rStyle w:val="FootnoteReference"/>
          <w:rFonts w:ascii="Arial" w:hAnsi="Arial"/>
          <w:sz w:val="20"/>
        </w:rPr>
        <w:t>lægeundersøgelse, der over for SJU beviser, at vedkommende opfylder kravene i artikel 12, stk. 2, litra d), i ansættelsesvilkårene for de øvrige ansatte i Den Europæiske Union.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Side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9E4660">
      <w:rPr>
        <w:b/>
        <w:noProof/>
        <w:sz w:val="18"/>
        <w:szCs w:val="18"/>
      </w:rPr>
      <w:t>2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da-DK" w:eastAsia="da-DK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da-DK"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da-DK" w:eastAsia="da-DK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E68E-0B25-4660-A0C9-1638E47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2017-02-27T14:29:00Z</dcterms:modified>
</cp:coreProperties>
</file>